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>Проект планировки терр</w:t>
            </w:r>
            <w:r>
              <w:rPr>
                <w:rFonts w:ascii="PT Astra Serif" w:hAnsi="PT Astra Serif"/>
                <w:sz w:val="28"/>
              </w:rPr>
              <w:t>и</w:t>
            </w:r>
            <w:r>
              <w:rPr>
                <w:rFonts w:ascii="PT Astra Serif" w:hAnsi="PT Astra Serif"/>
                <w:sz w:val="28"/>
              </w:rPr>
              <w:t>тории для размещения объекта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b w:val="0"/>
                <w:sz w:val="28"/>
              </w:rPr>
              <w:t>«Создание модульных некапитальных средств размещения при реализации инвестиционных проектов в рамках подпрограммы «Туризм» государственной программы Ростовской области «Развитие культуры и туризма» на реализацию инвестиционного проекта «</w:t>
            </w:r>
            <w:r>
              <w:rPr>
                <w:rFonts w:ascii="PT Astra Serif" w:hAnsi="PT Astra Serif"/>
                <w:b w:val="0"/>
                <w:sz w:val="28"/>
              </w:rPr>
              <w:t>Кенгуру</w:t>
            </w:r>
            <w:r>
              <w:rPr>
                <w:rFonts w:ascii="PT Astra Serif" w:hAnsi="PT Astra Serif"/>
                <w:b w:val="0"/>
                <w:sz w:val="28"/>
              </w:rPr>
              <w:t>.Г</w:t>
            </w:r>
            <w:r>
              <w:rPr>
                <w:rFonts w:ascii="PT Astra Serif" w:hAnsi="PT Astra Serif"/>
                <w:b w:val="0"/>
                <w:sz w:val="28"/>
              </w:rPr>
              <w:t>лэмпинг»</w:t>
            </w:r>
            <w:r>
              <w:rPr>
                <w:rFonts w:ascii="PT Astra Serif" w:hAnsi="PT Astra Serif"/>
                <w:b w:val="0"/>
                <w:sz w:val="28"/>
              </w:rPr>
              <w:t xml:space="preserve"> в части финансового обеспечения реализации проекта «</w:t>
            </w:r>
            <w:r>
              <w:rPr>
                <w:rFonts w:ascii="PT Astra Serif" w:hAnsi="PT Astra Serif"/>
                <w:b w:val="0"/>
                <w:sz w:val="28"/>
              </w:rPr>
              <w:t>Кенгуру.Глэмпинг»</w:t>
            </w:r>
            <w:r>
              <w:rPr>
                <w:rFonts w:ascii="PT Astra Serif" w:hAnsi="PT Astra Serif"/>
                <w:b w:val="0"/>
                <w:sz w:val="28"/>
              </w:rPr>
              <w:t xml:space="preserve"> за собственные средства индивидуального предпринимателя в форме </w:t>
            </w:r>
            <w:r>
              <w:rPr>
                <w:rFonts w:ascii="PT Astra Serif" w:hAnsi="PT Astra Serif"/>
                <w:b w:val="0"/>
                <w:sz w:val="28"/>
              </w:rPr>
              <w:t>софинансирования</w:t>
            </w:r>
            <w:r>
              <w:rPr>
                <w:rFonts w:ascii="PT Astra Serif" w:hAnsi="PT Astra Serif"/>
                <w:b w:val="0"/>
                <w:sz w:val="28"/>
              </w:rPr>
              <w:t xml:space="preserve"> в границах земельных участков с кадастровы</w:t>
            </w:r>
            <w:r>
              <w:rPr>
                <w:rFonts w:ascii="PT Astra Serif" w:hAnsi="PT Astra Serif"/>
                <w:b w:val="0"/>
                <w:sz w:val="28"/>
              </w:rPr>
              <w:t xml:space="preserve">ми номерами 61:18:0600022:1176 </w:t>
            </w:r>
            <w:r>
              <w:rPr>
                <w:rFonts w:ascii="PT Astra Serif" w:hAnsi="PT Astra Serif"/>
                <w:b w:val="0"/>
                <w:sz w:val="28"/>
              </w:rPr>
              <w:t>и 61:18:0600022:1</w:t>
            </w:r>
            <w:r>
              <w:rPr>
                <w:rFonts w:ascii="PT Astra Serif" w:hAnsi="PT Astra Serif"/>
                <w:b w:val="0"/>
                <w:sz w:val="28"/>
              </w:rPr>
              <w:t>208</w:t>
            </w:r>
            <w:r>
              <w:rPr>
                <w:rFonts w:ascii="PT Astra Serif" w:hAnsi="PT Astra Serif"/>
                <w:b w:val="0"/>
                <w:sz w:val="28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«29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2024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b w:val="0"/>
                <w:sz w:val="28"/>
              </w:rPr>
              <w:t>«Создание модульных некапитальных средств размещения при реализации инвестиционных проектов в рамках подпрограммы «Туризм» государственной программы Ростовской области «Развитие культуры и туризма» на реализацию инвестиционного проекта «</w:t>
            </w:r>
            <w:r>
              <w:rPr>
                <w:rFonts w:ascii="PT Astra Serif" w:hAnsi="PT Astra Serif"/>
                <w:b w:val="0"/>
                <w:sz w:val="28"/>
              </w:rPr>
              <w:t>Кенгуру</w:t>
            </w:r>
            <w:r>
              <w:rPr>
                <w:rFonts w:ascii="PT Astra Serif" w:hAnsi="PT Astra Serif"/>
                <w:b w:val="0"/>
                <w:sz w:val="28"/>
              </w:rPr>
              <w:t>.Г</w:t>
            </w:r>
            <w:r>
              <w:rPr>
                <w:rFonts w:ascii="PT Astra Serif" w:hAnsi="PT Astra Serif"/>
                <w:b w:val="0"/>
                <w:sz w:val="28"/>
              </w:rPr>
              <w:t>лэмпинг»</w:t>
            </w:r>
            <w:r>
              <w:rPr>
                <w:rFonts w:ascii="PT Astra Serif" w:hAnsi="PT Astra Serif"/>
                <w:b w:val="0"/>
                <w:sz w:val="28"/>
              </w:rPr>
              <w:t xml:space="preserve"> в части финансового обеспечения реализации проекта  «</w:t>
            </w:r>
            <w:r>
              <w:rPr>
                <w:rFonts w:ascii="PT Astra Serif" w:hAnsi="PT Astra Serif"/>
                <w:b w:val="0"/>
                <w:sz w:val="28"/>
              </w:rPr>
              <w:t>Кенгуру.Глэмпинг»</w:t>
            </w:r>
            <w:r>
              <w:rPr>
                <w:rFonts w:ascii="PT Astra Serif" w:hAnsi="PT Astra Serif"/>
                <w:b w:val="0"/>
                <w:sz w:val="28"/>
              </w:rPr>
              <w:t xml:space="preserve"> за собственные средства индивидуального предпринимателя в форме </w:t>
            </w:r>
            <w:r>
              <w:rPr>
                <w:rFonts w:ascii="PT Astra Serif" w:hAnsi="PT Astra Serif"/>
                <w:b w:val="0"/>
                <w:sz w:val="28"/>
              </w:rPr>
              <w:t>софинансирования</w:t>
            </w:r>
            <w:r>
              <w:rPr>
                <w:rFonts w:ascii="PT Astra Serif" w:hAnsi="PT Astra Serif"/>
                <w:b w:val="0"/>
                <w:sz w:val="28"/>
              </w:rPr>
              <w:t xml:space="preserve"> в границах земельных участков с кадастровы</w:t>
            </w:r>
            <w:r>
              <w:rPr>
                <w:rFonts w:ascii="PT Astra Serif" w:hAnsi="PT Astra Serif"/>
                <w:b w:val="0"/>
                <w:sz w:val="28"/>
              </w:rPr>
              <w:t xml:space="preserve">ми номерами 61:18:0600022:1176 </w:t>
            </w:r>
            <w:r>
              <w:rPr>
                <w:rFonts w:ascii="PT Astra Serif" w:hAnsi="PT Astra Serif"/>
                <w:b w:val="0"/>
                <w:sz w:val="28"/>
              </w:rPr>
              <w:t>и 61:18:0600022:1</w:t>
            </w:r>
            <w:r>
              <w:rPr>
                <w:rFonts w:ascii="PT Astra Serif" w:hAnsi="PT Astra Serif"/>
                <w:b w:val="0"/>
                <w:sz w:val="28"/>
              </w:rPr>
              <w:t>208</w:t>
            </w:r>
            <w:r>
              <w:rPr>
                <w:rFonts w:ascii="PT Astra Serif" w:hAnsi="PT Astra Serif"/>
                <w:b w:val="0"/>
                <w:sz w:val="28"/>
              </w:rPr>
              <w:t>»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rPr>
                <w:sz w:val="28"/>
              </w:rPr>
            </w:pPr>
            <w:r>
              <w:rPr>
                <w:sz w:val="28"/>
                <w:u w:val="single"/>
              </w:rPr>
              <w:t>13</w:t>
            </w:r>
            <w:r>
              <w:rPr>
                <w:sz w:val="28"/>
                <w:u w:val="single"/>
              </w:rPr>
              <w:t>.11</w:t>
            </w:r>
            <w:r>
              <w:rPr>
                <w:sz w:val="28"/>
                <w:u w:val="single"/>
              </w:rPr>
              <w:t>.2024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28.11</w:t>
            </w:r>
            <w:r>
              <w:rPr>
                <w:sz w:val="28"/>
                <w:u w:val="single"/>
              </w:rPr>
              <w:t>.2024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1(одного</w:t>
            </w:r>
            <w:r>
              <w:rPr>
                <w:sz w:val="28"/>
                <w:u w:val="single"/>
              </w:rPr>
              <w:t>) человека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«28</w:t>
            </w:r>
            <w:r>
              <w:rPr>
                <w:sz w:val="28"/>
                <w:u w:val="single"/>
              </w:rPr>
              <w:t>» 11</w:t>
            </w:r>
            <w:r>
              <w:rPr>
                <w:sz w:val="28"/>
                <w:u w:val="single"/>
              </w:rPr>
              <w:t xml:space="preserve">.2024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1.Процедура проведения публичных слушаний соблюдена и соответствует требованиям действующего законодательства Российской Федерации, в связи с чем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>2.</w:t>
            </w:r>
            <w:r>
              <w:rPr>
                <w:sz w:val="28"/>
                <w:u w:val="singl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Комиссии                                                                     </w:t>
            </w:r>
            <w:r>
              <w:rPr>
                <w:sz w:val="28"/>
              </w:rPr>
              <w:t xml:space="preserve">А.Р. </w:t>
            </w:r>
            <w:r>
              <w:rPr>
                <w:sz w:val="28"/>
              </w:rPr>
              <w:t>Бисаинов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r>
              <w:t xml:space="preserve">         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/>
        </w:tc>
      </w:tr>
    </w:tbl>
    <w:p w14:paraId="86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ConsPlusNormal"/>
    <w:link w:val="Style_5_ch"/>
    <w:pPr>
      <w:widowControl w:val="0"/>
      <w:ind w:firstLine="720" w:left="0"/>
    </w:pPr>
    <w:rPr>
      <w:rFonts w:ascii="Arial" w:hAnsi="Arial"/>
    </w:rPr>
  </w:style>
  <w:style w:styleId="Style_5_ch" w:type="character">
    <w:name w:val="ConsPlusNormal"/>
    <w:link w:val="Style_5"/>
    <w:rPr>
      <w:rFonts w:ascii="Arial" w:hAnsi="Arial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spacing w:after="0"/>
      <w:ind/>
    </w:pPr>
    <w:rPr>
      <w:rFonts w:ascii="Arial" w:hAnsi="Arial"/>
      <w:sz w:val="16"/>
    </w:rPr>
  </w:style>
  <w:style w:styleId="Style_10_ch" w:type="character">
    <w:name w:val="Balloon Text"/>
    <w:basedOn w:val="Style_3_ch"/>
    <w:link w:val="Style_10"/>
    <w:rPr>
      <w:rFonts w:ascii="Arial" w:hAnsi="Arial"/>
      <w:sz w:val="1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Абзац списка1"/>
    <w:basedOn w:val="Style_3"/>
    <w:link w:val="Style_21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21_ch" w:type="character">
    <w:name w:val="Абзац списка1"/>
    <w:basedOn w:val="Style_3_ch"/>
    <w:link w:val="Style_21"/>
    <w:rPr>
      <w:rFonts w:ascii="Calibri" w:hAnsi="Calibri"/>
      <w:sz w:val="22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2024-11-28T07:07:08Z</dcterms:modified>
</cp:coreProperties>
</file>