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1511"/>
        <w:gridCol w:w="3059"/>
      </w:tblGrid>
      <w:tr>
        <w:trPr>
          <w:trHeight w:hRule="atLeast" w:val="2693"/>
        </w:trPr>
        <w:tc>
          <w:tcPr>
            <w:tcW w:type="dxa" w:w="115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5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  <w:p w14:paraId="06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  <w:p w14:paraId="07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  <w:p w14:paraId="08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5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14:paraId="0B000000">
            <w:pPr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  <w:r>
              <w:rPr>
                <w:rFonts w:ascii="Times New Roman" w:hAnsi="Times New Roman"/>
                <w:sz w:val="20"/>
                <w:u w:val="single"/>
              </w:rPr>
              <w:t>Кишкинова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И</w:t>
            </w:r>
            <w:r>
              <w:rPr>
                <w:rFonts w:ascii="Times New Roman" w:hAnsi="Times New Roman"/>
                <w:sz w:val="20"/>
                <w:u w:val="single"/>
              </w:rPr>
              <w:t>.</w:t>
            </w:r>
            <w:r>
              <w:rPr>
                <w:rFonts w:ascii="Times New Roman" w:hAnsi="Times New Roman"/>
                <w:sz w:val="20"/>
                <w:u w:val="single"/>
              </w:rPr>
              <w:t>Ю</w:t>
            </w:r>
            <w:r>
              <w:rPr>
                <w:rFonts w:ascii="Times New Roman" w:hAnsi="Times New Roman"/>
                <w:sz w:val="20"/>
                <w:u w:val="single"/>
              </w:rPr>
              <w:t>.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У</w:t>
            </w:r>
            <w:r>
              <w:rPr>
                <w:rFonts w:ascii="Times New Roman" w:hAnsi="Times New Roman"/>
                <w:sz w:val="20"/>
                <w:u w:val="single"/>
              </w:rPr>
              <w:t>правляющий делами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Администрации Красносулинского района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10.10.2025</w:t>
            </w:r>
          </w:p>
          <w:p w14:paraId="0E000000">
            <w:pPr>
              <w:rPr>
                <w:rFonts w:ascii="Times New Roman" w:hAnsi="Times New Roman"/>
                <w:sz w:val="20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5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6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7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8000000">
      <w:pPr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ОТЧЕТ </w:t>
      </w:r>
    </w:p>
    <w:p w14:paraId="19000000">
      <w:pPr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О ХОДЕ РЕАЛИЗАЦИИ МУНИЦИПАЛЬНОЙ </w:t>
      </w:r>
      <w:r>
        <w:rPr>
          <w:rFonts w:ascii="Times New Roman" w:hAnsi="Times New Roman"/>
          <w:b w:val="1"/>
          <w:sz w:val="20"/>
        </w:rPr>
        <w:t>ПРОГРАММЫ</w:t>
      </w:r>
      <w:r>
        <w:rPr>
          <w:rFonts w:ascii="Times New Roman" w:hAnsi="Times New Roman"/>
          <w:b w:val="1"/>
          <w:sz w:val="20"/>
        </w:rPr>
        <w:t xml:space="preserve"> КРАСНОСУЛИНСКОГО РАЙОНА</w:t>
      </w:r>
    </w:p>
    <w:p w14:paraId="1A000000">
      <w:pPr>
        <w:ind/>
        <w:contextualSpacing w:val="1"/>
        <w:jc w:val="center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  <w:i w:val="1"/>
        </w:rPr>
        <w:t>«М</w:t>
      </w:r>
      <w:r>
        <w:rPr>
          <w:rFonts w:ascii="Times New Roman" w:hAnsi="Times New Roman"/>
          <w:b w:val="1"/>
          <w:i w:val="1"/>
        </w:rPr>
        <w:t>униципально управление и муниципальная служба»</w:t>
      </w:r>
    </w:p>
    <w:p w14:paraId="1B000000">
      <w:pPr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ЗА </w:t>
      </w:r>
      <w:r>
        <w:rPr>
          <w:rFonts w:ascii="Times New Roman" w:hAnsi="Times New Roman"/>
          <w:b w:val="1"/>
          <w:sz w:val="20"/>
        </w:rPr>
        <w:t>9 месяцев</w:t>
      </w:r>
      <w:r>
        <w:rPr>
          <w:rFonts w:ascii="Times New Roman" w:hAnsi="Times New Roman"/>
          <w:b w:val="1"/>
          <w:sz w:val="20"/>
        </w:rPr>
        <w:t xml:space="preserve"> 2025 года</w:t>
      </w:r>
      <w:r>
        <w:rPr>
          <w:rFonts w:ascii="Times New Roman" w:hAnsi="Times New Roman"/>
          <w:b w:val="1"/>
          <w:sz w:val="20"/>
        </w:rPr>
        <w:t xml:space="preserve"> </w:t>
      </w:r>
    </w:p>
    <w:p w14:paraId="1C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D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E000000">
      <w:pPr>
        <w:ind w:right="536"/>
        <w:contextualSpacing w:val="1"/>
        <w:rPr>
          <w:rFonts w:ascii="Times New Roman" w:hAnsi="Times New Roman"/>
          <w:sz w:val="20"/>
        </w:rPr>
      </w:pPr>
    </w:p>
    <w:p w14:paraId="1F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0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1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2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3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4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5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6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7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8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9000000">
      <w:pPr>
        <w:pStyle w:val="Style_2"/>
        <w:ind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муниципальной (комплексной) программы</w:t>
      </w:r>
    </w:p>
    <w:tbl>
      <w:tblPr>
        <w:tblStyle w:val="Style_1"/>
        <w:tblInd w:type="dxa" w:w="-34"/>
        <w:tblLayout w:type="fixed"/>
      </w:tblPr>
      <w:tblGrid>
        <w:gridCol w:w="411"/>
        <w:gridCol w:w="1239"/>
        <w:gridCol w:w="3171"/>
        <w:gridCol w:w="1241"/>
        <w:gridCol w:w="1104"/>
        <w:gridCol w:w="965"/>
        <w:gridCol w:w="1102"/>
        <w:gridCol w:w="1102"/>
        <w:gridCol w:w="965"/>
        <w:gridCol w:w="964"/>
        <w:gridCol w:w="1102"/>
        <w:gridCol w:w="1240"/>
      </w:tblGrid>
      <w:tr>
        <w:tc>
          <w:tcPr>
            <w:tcW w:type="dxa" w:w="411"/>
            <w:vAlign w:val="center"/>
          </w:tcPr>
          <w:p w14:paraId="2A000000">
            <w:pPr>
              <w:ind w:firstLine="0"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  <w:p w14:paraId="2B000000">
            <w:pPr>
              <w:ind w:firstLine="0"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/</w:t>
            </w:r>
            <w:r>
              <w:rPr>
                <w:rFonts w:ascii="Times New Roman" w:hAnsi="Times New Roman"/>
                <w:sz w:val="16"/>
              </w:rPr>
              <w:t>п</w:t>
            </w:r>
          </w:p>
        </w:tc>
        <w:tc>
          <w:tcPr>
            <w:tcW w:type="dxa" w:w="1239"/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type="dxa" w:w="3171"/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type="dxa" w:w="1241"/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type="dxa" w:w="1104"/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type="dxa" w:w="965"/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type="dxa" w:w="1102"/>
            <w:vAlign w:val="center"/>
          </w:tcPr>
          <w:p w14:paraId="3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type="dxa" w:w="1102"/>
            <w:vAlign w:val="center"/>
          </w:tcPr>
          <w:p w14:paraId="3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type="dxa" w:w="965"/>
            <w:vAlign w:val="center"/>
          </w:tcPr>
          <w:p w14:paraId="3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type="dxa" w:w="964"/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type="dxa" w:w="1102"/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type="dxa" w:w="1240"/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>
        <w:tc>
          <w:tcPr>
            <w:tcW w:type="dxa" w:w="411"/>
          </w:tcPr>
          <w:p w14:paraId="3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239"/>
          </w:tcPr>
          <w:p w14:paraId="3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3171"/>
          </w:tcPr>
          <w:p w14:paraId="3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241"/>
          </w:tcPr>
          <w:p w14:paraId="3A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104"/>
          </w:tcPr>
          <w:p w14:paraId="3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965"/>
          </w:tcPr>
          <w:p w14:paraId="3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102"/>
          </w:tcPr>
          <w:p w14:paraId="3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102"/>
          </w:tcPr>
          <w:p w14:paraId="3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965"/>
          </w:tcPr>
          <w:p w14:paraId="3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964"/>
          </w:tcPr>
          <w:p w14:paraId="4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1102"/>
          </w:tcPr>
          <w:p w14:paraId="4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1240"/>
          </w:tcPr>
          <w:p w14:paraId="4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>
        <w:tc>
          <w:tcPr>
            <w:tcW w:type="dxa" w:w="14604"/>
            <w:gridSpan w:val="12"/>
          </w:tcPr>
          <w:p w14:paraId="4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 Совершенствование муниципального управления и муниципальной службы в Красносулинском районе, развитие гражданского общества</w:t>
            </w:r>
          </w:p>
        </w:tc>
      </w:tr>
      <w:tr>
        <w:tc>
          <w:tcPr>
            <w:tcW w:type="dxa" w:w="411"/>
          </w:tcPr>
          <w:p w14:paraId="4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type="dxa" w:w="1239"/>
          </w:tcPr>
          <w:p w14:paraId="4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46000000">
            <w:pPr>
              <w:ind w:firstLine="0"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type="dxa" w:w="1241"/>
          </w:tcPr>
          <w:p w14:paraId="4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4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4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4A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4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4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4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1102"/>
          </w:tcPr>
          <w:p w14:paraId="4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4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411"/>
          </w:tcPr>
          <w:p w14:paraId="5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type="dxa" w:w="1239"/>
          </w:tcPr>
          <w:p w14:paraId="5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52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 высшей группы,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type="dxa" w:w="1241"/>
          </w:tcPr>
          <w:p w14:paraId="5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5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5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56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5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5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5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type="dxa" w:w="1102"/>
          </w:tcPr>
          <w:p w14:paraId="5A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5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411"/>
          </w:tcPr>
          <w:p w14:paraId="5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1.3</w:t>
            </w:r>
          </w:p>
        </w:tc>
        <w:tc>
          <w:tcPr>
            <w:tcW w:type="dxa" w:w="1239"/>
          </w:tcPr>
          <w:p w14:paraId="5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5E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</w:t>
            </w:r>
          </w:p>
        </w:tc>
        <w:tc>
          <w:tcPr>
            <w:tcW w:type="dxa" w:w="1241"/>
          </w:tcPr>
          <w:p w14:paraId="5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6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6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6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6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type="dxa" w:w="1102"/>
          </w:tcPr>
          <w:p w14:paraId="66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6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411"/>
          </w:tcPr>
          <w:p w14:paraId="6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1.4</w:t>
            </w:r>
          </w:p>
        </w:tc>
        <w:tc>
          <w:tcPr>
            <w:tcW w:type="dxa" w:w="1239"/>
          </w:tcPr>
          <w:p w14:paraId="6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6A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муниципальных служащих, имеющих высшее образование</w:t>
            </w:r>
          </w:p>
        </w:tc>
        <w:tc>
          <w:tcPr>
            <w:tcW w:type="dxa" w:w="1241"/>
          </w:tcPr>
          <w:p w14:paraId="6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6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6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7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7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92,5</w:t>
            </w:r>
          </w:p>
        </w:tc>
        <w:tc>
          <w:tcPr>
            <w:tcW w:type="dxa" w:w="1102"/>
          </w:tcPr>
          <w:p w14:paraId="7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7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74000000">
      <w:pPr>
        <w:ind w:right="536"/>
        <w:contextualSpacing w:val="1"/>
        <w:jc w:val="center"/>
        <w:rPr>
          <w:rFonts w:ascii="Times New Roman" w:hAnsi="Times New Roman"/>
          <w:sz w:val="20"/>
        </w:rPr>
      </w:pPr>
    </w:p>
    <w:p w14:paraId="75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14:paraId="76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1"/>
        <w:tblInd w:type="dxa" w:w="108"/>
        <w:tblLayout w:type="fixed"/>
      </w:tblPr>
      <w:tblGrid>
        <w:gridCol w:w="5285"/>
        <w:gridCol w:w="1390"/>
        <w:gridCol w:w="974"/>
        <w:gridCol w:w="1215"/>
        <w:gridCol w:w="1287"/>
        <w:gridCol w:w="956"/>
        <w:gridCol w:w="1739"/>
        <w:gridCol w:w="1616"/>
      </w:tblGrid>
      <w:tr>
        <w:trPr>
          <w:trHeight w:hRule="atLeast" w:val="462"/>
        </w:trPr>
        <w:tc>
          <w:tcPr>
            <w:tcW w:type="dxa" w:w="5285"/>
            <w:vMerge w:val="restart"/>
            <w:vAlign w:val="center"/>
          </w:tcPr>
          <w:p w14:paraId="7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type="dxa" w:w="3579"/>
            <w:gridSpan w:val="3"/>
            <w:vAlign w:val="center"/>
          </w:tcPr>
          <w:p w14:paraId="7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14:paraId="7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type="dxa" w:w="2243"/>
            <w:gridSpan w:val="2"/>
            <w:vAlign w:val="center"/>
          </w:tcPr>
          <w:p w14:paraId="7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type="dxa" w:w="1739"/>
            <w:vMerge w:val="restart"/>
            <w:vAlign w:val="center"/>
          </w:tcPr>
          <w:p w14:paraId="7B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</w:t>
            </w:r>
          </w:p>
        </w:tc>
        <w:tc>
          <w:tcPr>
            <w:tcW w:type="dxa" w:w="1616"/>
            <w:vMerge w:val="restart"/>
            <w:vAlign w:val="center"/>
          </w:tcPr>
          <w:p w14:paraId="7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>
        <w:trPr>
          <w:trHeight w:hRule="atLeast" w:val="652"/>
        </w:trPr>
        <w:tc>
          <w:tcPr>
            <w:tcW w:type="dxa" w:w="5285"/>
            <w:gridSpan w:val="1"/>
            <w:vMerge w:val="continue"/>
            <w:vAlign w:val="center"/>
          </w:tcPr>
          <w:p/>
        </w:tc>
        <w:tc>
          <w:tcPr>
            <w:tcW w:type="dxa" w:w="1390"/>
            <w:vAlign w:val="center"/>
          </w:tcPr>
          <w:p w14:paraId="7D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type="dxa" w:w="974"/>
            <w:vAlign w:val="center"/>
          </w:tcPr>
          <w:p w14:paraId="7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type="dxa" w:w="1215"/>
            <w:shd w:fill="auto" w:val="clear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type="dxa" w:w="1287"/>
            <w:shd w:fill="auto" w:val="clear"/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type="dxa" w:w="956"/>
            <w:vAlign w:val="center"/>
          </w:tcPr>
          <w:p w14:paraId="81000000">
            <w:pPr>
              <w:ind w:firstLine="0" w:left="-108"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type="dxa" w:w="1739"/>
            <w:gridSpan w:val="1"/>
            <w:vMerge w:val="continue"/>
            <w:vAlign w:val="center"/>
          </w:tcPr>
          <w:p/>
        </w:tc>
        <w:tc>
          <w:tcPr>
            <w:tcW w:type="dxa" w:w="1616"/>
            <w:gridSpan w:val="1"/>
            <w:vMerge w:val="continue"/>
            <w:vAlign w:val="center"/>
          </w:tcPr>
          <w:p/>
        </w:tc>
      </w:tr>
      <w:tr>
        <w:trPr>
          <w:trHeight w:hRule="atLeast" w:val="216"/>
        </w:trPr>
        <w:tc>
          <w:tcPr>
            <w:tcW w:type="dxa" w:w="5285"/>
          </w:tcPr>
          <w:p w14:paraId="8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390"/>
          </w:tcPr>
          <w:p w14:paraId="83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974"/>
          </w:tcPr>
          <w:p w14:paraId="8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215"/>
          </w:tcPr>
          <w:p w14:paraId="85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287"/>
          </w:tcPr>
          <w:p w14:paraId="8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956"/>
          </w:tcPr>
          <w:p w14:paraId="8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739"/>
          </w:tcPr>
          <w:p w14:paraId="8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616"/>
          </w:tcPr>
          <w:p w14:paraId="8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>
        <w:tc>
          <w:tcPr>
            <w:tcW w:type="dxa" w:w="5285"/>
            <w:vAlign w:val="center"/>
          </w:tcPr>
          <w:p w14:paraId="8A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Муниципальная программа Красносулинского района «Муниципальное управление и муниципальная служба» (всего), в том числе:</w:t>
            </w:r>
          </w:p>
        </w:tc>
        <w:tc>
          <w:tcPr>
            <w:tcW w:type="dxa" w:w="1390"/>
            <w:vAlign w:val="center"/>
          </w:tcPr>
          <w:p w14:paraId="8B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99834,1</w:t>
            </w:r>
          </w:p>
        </w:tc>
        <w:tc>
          <w:tcPr>
            <w:tcW w:type="dxa" w:w="974"/>
            <w:vAlign w:val="center"/>
          </w:tcPr>
          <w:p w14:paraId="8C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99834,1</w:t>
            </w:r>
          </w:p>
        </w:tc>
        <w:tc>
          <w:tcPr>
            <w:tcW w:type="dxa" w:w="1215"/>
            <w:vAlign w:val="center"/>
          </w:tcPr>
          <w:p w14:paraId="8D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99834,1</w:t>
            </w:r>
          </w:p>
        </w:tc>
        <w:tc>
          <w:tcPr>
            <w:tcW w:type="dxa" w:w="1287"/>
            <w:vAlign w:val="center"/>
          </w:tcPr>
          <w:p w14:paraId="8E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72115,1</w:t>
            </w:r>
          </w:p>
        </w:tc>
        <w:tc>
          <w:tcPr>
            <w:tcW w:type="dxa" w:w="956"/>
            <w:vAlign w:val="center"/>
          </w:tcPr>
          <w:p w14:paraId="8F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67389,8</w:t>
            </w:r>
          </w:p>
        </w:tc>
        <w:tc>
          <w:tcPr>
            <w:tcW w:type="dxa" w:w="1739"/>
            <w:vAlign w:val="center"/>
          </w:tcPr>
          <w:p w14:paraId="90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67,5</w:t>
            </w:r>
          </w:p>
        </w:tc>
        <w:tc>
          <w:tcPr>
            <w:tcW w:type="dxa" w:w="1616"/>
            <w:vAlign w:val="center"/>
          </w:tcPr>
          <w:p w14:paraId="91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92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областной бюджет (всего), из них:</w:t>
            </w:r>
          </w:p>
        </w:tc>
        <w:tc>
          <w:tcPr>
            <w:tcW w:type="dxa" w:w="1390"/>
            <w:vAlign w:val="center"/>
          </w:tcPr>
          <w:p w14:paraId="93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5395,2</w:t>
            </w:r>
          </w:p>
        </w:tc>
        <w:tc>
          <w:tcPr>
            <w:tcW w:type="dxa" w:w="974"/>
            <w:vAlign w:val="center"/>
          </w:tcPr>
          <w:p w14:paraId="94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5395,2</w:t>
            </w:r>
          </w:p>
        </w:tc>
        <w:tc>
          <w:tcPr>
            <w:tcW w:type="dxa" w:w="1215"/>
            <w:vAlign w:val="center"/>
          </w:tcPr>
          <w:p w14:paraId="95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5395,2</w:t>
            </w:r>
          </w:p>
        </w:tc>
        <w:tc>
          <w:tcPr>
            <w:tcW w:type="dxa" w:w="1287"/>
            <w:vAlign w:val="center"/>
          </w:tcPr>
          <w:p w14:paraId="96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3411,2</w:t>
            </w:r>
          </w:p>
        </w:tc>
        <w:tc>
          <w:tcPr>
            <w:tcW w:type="dxa" w:w="956"/>
            <w:vAlign w:val="center"/>
          </w:tcPr>
          <w:p w14:paraId="97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3340,8</w:t>
            </w:r>
          </w:p>
        </w:tc>
        <w:tc>
          <w:tcPr>
            <w:tcW w:type="dxa" w:w="1739"/>
            <w:vAlign w:val="center"/>
          </w:tcPr>
          <w:p w14:paraId="98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61,9</w:t>
            </w:r>
          </w:p>
        </w:tc>
        <w:tc>
          <w:tcPr>
            <w:tcW w:type="dxa" w:w="1616"/>
            <w:vAlign w:val="center"/>
          </w:tcPr>
          <w:p w14:paraId="99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9A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9B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94438,9</w:t>
            </w:r>
          </w:p>
        </w:tc>
        <w:tc>
          <w:tcPr>
            <w:tcW w:type="dxa" w:w="974"/>
            <w:vAlign w:val="center"/>
          </w:tcPr>
          <w:p w14:paraId="9C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94438,9</w:t>
            </w:r>
          </w:p>
        </w:tc>
        <w:tc>
          <w:tcPr>
            <w:tcW w:type="dxa" w:w="1215"/>
            <w:vAlign w:val="center"/>
          </w:tcPr>
          <w:p w14:paraId="9D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94438,9</w:t>
            </w:r>
          </w:p>
        </w:tc>
        <w:tc>
          <w:tcPr>
            <w:tcW w:type="dxa" w:w="1287"/>
            <w:vAlign w:val="center"/>
          </w:tcPr>
          <w:p w14:paraId="9E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68703,9</w:t>
            </w:r>
          </w:p>
        </w:tc>
        <w:tc>
          <w:tcPr>
            <w:tcW w:type="dxa" w:w="956"/>
            <w:vAlign w:val="center"/>
          </w:tcPr>
          <w:p w14:paraId="9F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64049,0</w:t>
            </w:r>
          </w:p>
        </w:tc>
        <w:tc>
          <w:tcPr>
            <w:tcW w:type="dxa" w:w="1739"/>
            <w:vAlign w:val="center"/>
          </w:tcPr>
          <w:p w14:paraId="A0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67,8</w:t>
            </w:r>
          </w:p>
        </w:tc>
        <w:tc>
          <w:tcPr>
            <w:tcW w:type="dxa" w:w="1616"/>
            <w:vAlign w:val="center"/>
          </w:tcPr>
          <w:p w14:paraId="A1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A2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Комплекс процессных мероприятий «Развитие муниципального управления и муниципальной службы в Красносулинском районе», в том числе:</w:t>
            </w:r>
          </w:p>
        </w:tc>
        <w:tc>
          <w:tcPr>
            <w:tcW w:type="dxa" w:w="1390"/>
            <w:vAlign w:val="center"/>
          </w:tcPr>
          <w:p w14:paraId="A3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157,7</w:t>
            </w:r>
          </w:p>
        </w:tc>
        <w:tc>
          <w:tcPr>
            <w:tcW w:type="dxa" w:w="974"/>
            <w:vAlign w:val="center"/>
          </w:tcPr>
          <w:p w14:paraId="A4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157,7</w:t>
            </w:r>
          </w:p>
        </w:tc>
        <w:tc>
          <w:tcPr>
            <w:tcW w:type="dxa" w:w="1215"/>
            <w:vAlign w:val="center"/>
          </w:tcPr>
          <w:p w14:paraId="A5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157,7</w:t>
            </w:r>
          </w:p>
        </w:tc>
        <w:tc>
          <w:tcPr>
            <w:tcW w:type="dxa" w:w="1287"/>
            <w:vAlign w:val="center"/>
          </w:tcPr>
          <w:p w14:paraId="A6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79,0</w:t>
            </w:r>
          </w:p>
        </w:tc>
        <w:tc>
          <w:tcPr>
            <w:tcW w:type="dxa" w:w="956"/>
            <w:vAlign w:val="center"/>
          </w:tcPr>
          <w:p w14:paraId="A7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79,0</w:t>
            </w:r>
          </w:p>
        </w:tc>
        <w:tc>
          <w:tcPr>
            <w:tcW w:type="dxa" w:w="1739"/>
            <w:vAlign w:val="center"/>
          </w:tcPr>
          <w:p w14:paraId="A8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50,1</w:t>
            </w:r>
          </w:p>
        </w:tc>
        <w:tc>
          <w:tcPr>
            <w:tcW w:type="dxa" w:w="1616"/>
            <w:vAlign w:val="center"/>
          </w:tcPr>
          <w:p w14:paraId="A9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AA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AB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157,7</w:t>
            </w:r>
          </w:p>
        </w:tc>
        <w:tc>
          <w:tcPr>
            <w:tcW w:type="dxa" w:w="974"/>
            <w:vAlign w:val="center"/>
          </w:tcPr>
          <w:p w14:paraId="AC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157,7</w:t>
            </w:r>
          </w:p>
        </w:tc>
        <w:tc>
          <w:tcPr>
            <w:tcW w:type="dxa" w:w="1215"/>
            <w:vAlign w:val="center"/>
          </w:tcPr>
          <w:p w14:paraId="AD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157,7</w:t>
            </w:r>
          </w:p>
        </w:tc>
        <w:tc>
          <w:tcPr>
            <w:tcW w:type="dxa" w:w="1287"/>
            <w:vAlign w:val="center"/>
          </w:tcPr>
          <w:p w14:paraId="AE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79,0</w:t>
            </w:r>
          </w:p>
        </w:tc>
        <w:tc>
          <w:tcPr>
            <w:tcW w:type="dxa" w:w="956"/>
            <w:vAlign w:val="center"/>
          </w:tcPr>
          <w:p w14:paraId="AF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79,0</w:t>
            </w:r>
          </w:p>
        </w:tc>
        <w:tc>
          <w:tcPr>
            <w:tcW w:type="dxa" w:w="1739"/>
            <w:vAlign w:val="center"/>
          </w:tcPr>
          <w:p w14:paraId="B0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50,1</w:t>
            </w:r>
          </w:p>
        </w:tc>
        <w:tc>
          <w:tcPr>
            <w:tcW w:type="dxa" w:w="1616"/>
            <w:vAlign w:val="center"/>
          </w:tcPr>
          <w:p w14:paraId="B1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B2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 xml:space="preserve">Комплекс процессных мероприятий </w:t>
            </w:r>
            <w:r>
              <w:rPr>
                <w:sz w:val="16"/>
              </w:rPr>
              <w:t>«Обеспечение реализации муниципальной программы Красносулинского района «Муниципальное управление и муниципальная служба»</w:t>
            </w:r>
            <w:r>
              <w:rPr>
                <w:sz w:val="16"/>
              </w:rPr>
              <w:t>, в том числе:</w:t>
            </w:r>
          </w:p>
        </w:tc>
        <w:tc>
          <w:tcPr>
            <w:tcW w:type="dxa" w:w="1390"/>
            <w:vAlign w:val="center"/>
          </w:tcPr>
          <w:p w14:paraId="B3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99 553,7</w:t>
            </w:r>
          </w:p>
        </w:tc>
        <w:tc>
          <w:tcPr>
            <w:tcW w:type="dxa" w:w="974"/>
            <w:vAlign w:val="center"/>
          </w:tcPr>
          <w:p w14:paraId="B4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99 553,7</w:t>
            </w:r>
          </w:p>
        </w:tc>
        <w:tc>
          <w:tcPr>
            <w:tcW w:type="dxa" w:w="1215"/>
            <w:vAlign w:val="center"/>
          </w:tcPr>
          <w:p w14:paraId="B5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99 553,7</w:t>
            </w:r>
          </w:p>
        </w:tc>
        <w:tc>
          <w:tcPr>
            <w:tcW w:type="dxa" w:w="1287"/>
            <w:vAlign w:val="center"/>
          </w:tcPr>
          <w:p w14:paraId="B6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71 965,8</w:t>
            </w:r>
          </w:p>
        </w:tc>
        <w:tc>
          <w:tcPr>
            <w:tcW w:type="dxa" w:w="956"/>
            <w:vAlign w:val="center"/>
          </w:tcPr>
          <w:p w14:paraId="B7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67310,8</w:t>
            </w:r>
          </w:p>
        </w:tc>
        <w:tc>
          <w:tcPr>
            <w:tcW w:type="dxa" w:w="1739"/>
            <w:vAlign w:val="center"/>
          </w:tcPr>
          <w:p w14:paraId="B8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67,5</w:t>
            </w:r>
          </w:p>
        </w:tc>
        <w:tc>
          <w:tcPr>
            <w:tcW w:type="dxa" w:w="1616"/>
            <w:vAlign w:val="center"/>
          </w:tcPr>
          <w:p w14:paraId="B9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BA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type="dxa" w:w="1390"/>
            <w:vAlign w:val="center"/>
          </w:tcPr>
          <w:p w14:paraId="BB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5 395,2</w:t>
            </w:r>
          </w:p>
        </w:tc>
        <w:tc>
          <w:tcPr>
            <w:tcW w:type="dxa" w:w="974"/>
            <w:vAlign w:val="center"/>
          </w:tcPr>
          <w:p w14:paraId="BC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5 395,2</w:t>
            </w:r>
          </w:p>
        </w:tc>
        <w:tc>
          <w:tcPr>
            <w:tcW w:type="dxa" w:w="1215"/>
            <w:vAlign w:val="center"/>
          </w:tcPr>
          <w:p w14:paraId="BD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5 395,2</w:t>
            </w:r>
          </w:p>
        </w:tc>
        <w:tc>
          <w:tcPr>
            <w:tcW w:type="dxa" w:w="1287"/>
            <w:vAlign w:val="center"/>
          </w:tcPr>
          <w:p w14:paraId="BE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3411,2</w:t>
            </w:r>
          </w:p>
        </w:tc>
        <w:tc>
          <w:tcPr>
            <w:tcW w:type="dxa" w:w="956"/>
            <w:vAlign w:val="center"/>
          </w:tcPr>
          <w:p w14:paraId="BF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3 340,8</w:t>
            </w:r>
          </w:p>
        </w:tc>
        <w:tc>
          <w:tcPr>
            <w:tcW w:type="dxa" w:w="1739"/>
            <w:vAlign w:val="center"/>
          </w:tcPr>
          <w:p w14:paraId="C0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61,9</w:t>
            </w:r>
          </w:p>
        </w:tc>
        <w:tc>
          <w:tcPr>
            <w:tcW w:type="dxa" w:w="1616"/>
            <w:vAlign w:val="center"/>
          </w:tcPr>
          <w:p w14:paraId="C1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C2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C3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94 158,5</w:t>
            </w:r>
          </w:p>
        </w:tc>
        <w:tc>
          <w:tcPr>
            <w:tcW w:type="dxa" w:w="974"/>
            <w:vAlign w:val="center"/>
          </w:tcPr>
          <w:p w14:paraId="C4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94 158,5</w:t>
            </w:r>
          </w:p>
        </w:tc>
        <w:tc>
          <w:tcPr>
            <w:tcW w:type="dxa" w:w="1215"/>
            <w:vAlign w:val="center"/>
          </w:tcPr>
          <w:p w14:paraId="C5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94 158,5</w:t>
            </w:r>
          </w:p>
        </w:tc>
        <w:tc>
          <w:tcPr>
            <w:tcW w:type="dxa" w:w="1287"/>
            <w:vAlign w:val="center"/>
          </w:tcPr>
          <w:p w14:paraId="C6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68 624,9</w:t>
            </w:r>
          </w:p>
        </w:tc>
        <w:tc>
          <w:tcPr>
            <w:tcW w:type="dxa" w:w="956"/>
            <w:vAlign w:val="center"/>
          </w:tcPr>
          <w:p w14:paraId="C7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63 970,0</w:t>
            </w:r>
          </w:p>
        </w:tc>
        <w:tc>
          <w:tcPr>
            <w:tcW w:type="dxa" w:w="1739"/>
            <w:vAlign w:val="center"/>
          </w:tcPr>
          <w:p w14:paraId="C8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</w:tc>
        <w:tc>
          <w:tcPr>
            <w:tcW w:type="dxa" w:w="1616"/>
            <w:vAlign w:val="center"/>
          </w:tcPr>
          <w:p w14:paraId="C9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CA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 xml:space="preserve">Комплекс процессных мероприятий </w:t>
            </w:r>
            <w:r>
              <w:rPr>
                <w:sz w:val="16"/>
              </w:rPr>
              <w:t>«Поддержка социально ориентированных некоммерческих организаций»</w:t>
            </w:r>
            <w:r>
              <w:rPr>
                <w:sz w:val="16"/>
              </w:rPr>
              <w:t>, в том числе:</w:t>
            </w:r>
          </w:p>
        </w:tc>
        <w:tc>
          <w:tcPr>
            <w:tcW w:type="dxa" w:w="1390"/>
            <w:vAlign w:val="center"/>
          </w:tcPr>
          <w:p w14:paraId="CB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type="dxa" w:w="974"/>
            <w:vAlign w:val="center"/>
          </w:tcPr>
          <w:p w14:paraId="CC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type="dxa" w:w="1215"/>
            <w:vAlign w:val="center"/>
          </w:tcPr>
          <w:p w14:paraId="CD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type="dxa" w:w="1287"/>
            <w:vAlign w:val="center"/>
          </w:tcPr>
          <w:p w14:paraId="CE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956"/>
            <w:vAlign w:val="center"/>
          </w:tcPr>
          <w:p w14:paraId="CF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739"/>
            <w:vAlign w:val="center"/>
          </w:tcPr>
          <w:p w14:paraId="D0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616"/>
            <w:vAlign w:val="center"/>
          </w:tcPr>
          <w:p w14:paraId="D1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D2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D3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type="dxa" w:w="974"/>
            <w:vAlign w:val="center"/>
          </w:tcPr>
          <w:p w14:paraId="D4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type="dxa" w:w="1215"/>
            <w:vAlign w:val="center"/>
          </w:tcPr>
          <w:p w14:paraId="D5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type="dxa" w:w="1287"/>
            <w:vAlign w:val="center"/>
          </w:tcPr>
          <w:p w14:paraId="D6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956"/>
            <w:vAlign w:val="center"/>
          </w:tcPr>
          <w:p w14:paraId="D7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739"/>
            <w:vAlign w:val="center"/>
          </w:tcPr>
          <w:p w14:paraId="D8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616"/>
            <w:vAlign w:val="center"/>
          </w:tcPr>
          <w:p w14:paraId="D9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DA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 xml:space="preserve">Комплекс процессных мероприятий </w:t>
            </w:r>
            <w:r>
              <w:rPr>
                <w:sz w:val="16"/>
              </w:rPr>
              <w:t xml:space="preserve">«Укрепление единства российской нации и гармонизация межэтнических отношений в </w:t>
            </w:r>
            <w:r>
              <w:rPr>
                <w:sz w:val="16"/>
              </w:rPr>
              <w:t>Красносулинском районе»</w:t>
            </w:r>
            <w:r>
              <w:rPr>
                <w:sz w:val="16"/>
              </w:rPr>
              <w:t>, в том числе:</w:t>
            </w:r>
          </w:p>
        </w:tc>
        <w:tc>
          <w:tcPr>
            <w:tcW w:type="dxa" w:w="1390"/>
            <w:vAlign w:val="center"/>
          </w:tcPr>
          <w:p w14:paraId="DB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22,7</w:t>
            </w:r>
          </w:p>
        </w:tc>
        <w:tc>
          <w:tcPr>
            <w:tcW w:type="dxa" w:w="974"/>
            <w:vAlign w:val="center"/>
          </w:tcPr>
          <w:p w14:paraId="DC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22,7</w:t>
            </w:r>
          </w:p>
        </w:tc>
        <w:tc>
          <w:tcPr>
            <w:tcW w:type="dxa" w:w="1215"/>
            <w:vAlign w:val="center"/>
          </w:tcPr>
          <w:p w14:paraId="DD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22,7</w:t>
            </w:r>
          </w:p>
        </w:tc>
        <w:tc>
          <w:tcPr>
            <w:tcW w:type="dxa" w:w="1287"/>
            <w:vAlign w:val="center"/>
          </w:tcPr>
          <w:p w14:paraId="DE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956"/>
            <w:vAlign w:val="center"/>
          </w:tcPr>
          <w:p w14:paraId="DF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739"/>
            <w:vAlign w:val="center"/>
          </w:tcPr>
          <w:p w14:paraId="E0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616"/>
            <w:vAlign w:val="center"/>
          </w:tcPr>
          <w:p w14:paraId="E1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c>
          <w:tcPr>
            <w:tcW w:type="dxa" w:w="5285"/>
            <w:vAlign w:val="center"/>
          </w:tcPr>
          <w:p w14:paraId="E2000000">
            <w:pPr>
              <w:pStyle w:val="Style_3"/>
              <w:rPr>
                <w:sz w:val="16"/>
              </w:rPr>
            </w:pPr>
            <w:r>
              <w:rPr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E3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22,7</w:t>
            </w:r>
          </w:p>
        </w:tc>
        <w:tc>
          <w:tcPr>
            <w:tcW w:type="dxa" w:w="974"/>
            <w:vAlign w:val="center"/>
          </w:tcPr>
          <w:p w14:paraId="E4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22,7</w:t>
            </w:r>
          </w:p>
        </w:tc>
        <w:tc>
          <w:tcPr>
            <w:tcW w:type="dxa" w:w="1215"/>
            <w:vAlign w:val="center"/>
          </w:tcPr>
          <w:p w14:paraId="E5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22,7</w:t>
            </w:r>
          </w:p>
        </w:tc>
        <w:tc>
          <w:tcPr>
            <w:tcW w:type="dxa" w:w="1287"/>
            <w:vAlign w:val="center"/>
          </w:tcPr>
          <w:p w14:paraId="E6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956"/>
            <w:vAlign w:val="center"/>
          </w:tcPr>
          <w:p w14:paraId="E7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739"/>
            <w:vAlign w:val="center"/>
          </w:tcPr>
          <w:p w14:paraId="E8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type="dxa" w:w="1616"/>
            <w:vAlign w:val="center"/>
          </w:tcPr>
          <w:p w14:paraId="E9000000">
            <w:pPr>
              <w:pStyle w:val="Style_3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EA000000">
      <w:pPr>
        <w:ind w:right="536"/>
        <w:contextualSpacing w:val="1"/>
        <w:jc w:val="center"/>
      </w:pPr>
    </w:p>
    <w:sectPr>
      <w:pgSz w:h="11906" w:orient="landscape" w:w="16838"/>
      <w:pgMar w:bottom="567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  <w:color w:val="000000"/>
    </w:rPr>
  </w:style>
  <w:style w:default="1" w:styleId="Style_3_ch" w:type="character">
    <w:name w:val="Normal"/>
    <w:link w:val="Style_3"/>
    <w:rPr>
      <w:rFonts w:ascii="Calibri" w:hAnsi="Calibri"/>
      <w:color w:val="00000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Знак сноски2"/>
    <w:basedOn w:val="Style_3"/>
    <w:link w:val="Style_9_ch"/>
    <w:pPr>
      <w:spacing w:after="0" w:line="240" w:lineRule="auto"/>
      <w:ind/>
    </w:pPr>
    <w:rPr>
      <w:sz w:val="20"/>
      <w:vertAlign w:val="superscript"/>
    </w:rPr>
  </w:style>
  <w:style w:styleId="Style_9_ch" w:type="character">
    <w:name w:val="Знак сноски2"/>
    <w:basedOn w:val="Style_3_ch"/>
    <w:link w:val="Style_9"/>
    <w:rPr>
      <w:sz w:val="20"/>
      <w:vertAlign w:val="superscript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3"/>
    <w:link w:val="Style_15_ch"/>
    <w:pPr>
      <w:spacing w:after="160" w:line="264" w:lineRule="auto"/>
      <w:ind/>
    </w:pPr>
    <w:rPr>
      <w:sz w:val="20"/>
    </w:rPr>
  </w:style>
  <w:style w:styleId="Style_15_ch" w:type="character">
    <w:name w:val="Footnote"/>
    <w:basedOn w:val="Style_3_ch"/>
    <w:link w:val="Style_15"/>
    <w:rPr>
      <w:sz w:val="20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Сетка таблицы4"/>
    <w:basedOn w:val="Style_25"/>
    <w:pPr>
      <w:spacing w:after="0" w:line="240" w:lineRule="auto"/>
      <w:ind/>
    </w:pPr>
    <w:rPr>
      <w:rFonts w:ascii="Calibri" w:hAnsi="Calibri"/>
      <w:color w:val="00000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2025-11-12T12:49:33Z</dcterms:modified>
</cp:coreProperties>
</file>