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Открытые склады готовой продукции, расположенные на земельном участке с кадастровым номером 61:18:0600009:1490</w:t>
            </w:r>
            <w:r>
              <w:rPr>
                <w:rFonts w:ascii="PT Astra Serif" w:hAnsi="PT Astra Serif"/>
                <w:b w:val="0"/>
                <w:color w:val="000000"/>
                <w:sz w:val="28"/>
              </w:rPr>
              <w:t>»</w:t>
            </w:r>
            <w:r>
              <w:rPr>
                <w:rFonts w:ascii="PT Astra Serif" w:hAnsi="PT Astra Serif"/>
                <w:b w:val="0"/>
                <w:color w:val="000000"/>
                <w:sz w:val="28"/>
              </w:rPr>
              <w:t xml:space="preserve">. Местоположение: </w:t>
            </w:r>
            <w:r>
              <w:rPr>
                <w:rFonts w:ascii="PT Astra Serif" w:hAnsi="PT Astra Serif"/>
                <w:sz w:val="28"/>
              </w:rPr>
              <w:t>Ростовская область, Красносулинский район, Владимировское сельское поселение, СПК «Федоровский»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«14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Открытые склады готовой продукции, расположенные на земельном участке с кадастровым номером 61:18:0600009:1490</w:t>
            </w:r>
            <w:r>
              <w:rPr>
                <w:rFonts w:ascii="PT Astra Serif" w:hAnsi="PT Astra Serif"/>
                <w:b w:val="0"/>
                <w:color w:val="000000"/>
                <w:sz w:val="28"/>
              </w:rPr>
              <w:t>»</w:t>
            </w:r>
            <w:r>
              <w:rPr>
                <w:rFonts w:ascii="PT Astra Serif" w:hAnsi="PT Astra Serif"/>
                <w:b w:val="0"/>
                <w:color w:val="000000"/>
                <w:sz w:val="28"/>
              </w:rPr>
              <w:t xml:space="preserve">. Местоположение: </w:t>
            </w:r>
            <w:r>
              <w:rPr>
                <w:rFonts w:ascii="PT Astra Serif" w:hAnsi="PT Astra Serif"/>
                <w:sz w:val="28"/>
              </w:rPr>
              <w:t>Ростовская область, Красносулинский район, Владимировское сельское поселение, СПК «Федоровский»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29.01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14.02.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1(одного</w:t>
            </w:r>
            <w:r>
              <w:rPr>
                <w:sz w:val="28"/>
                <w:u w:val="single"/>
              </w:rPr>
              <w:t>) челов</w:t>
            </w:r>
            <w:r>
              <w:rPr>
                <w:sz w:val="28"/>
                <w:u w:val="single"/>
              </w:rPr>
              <w:t>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«14</w:t>
            </w:r>
            <w:r>
              <w:rPr>
                <w:sz w:val="28"/>
                <w:u w:val="single"/>
              </w:rPr>
              <w:t>» 02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                                              А.Н. Сухин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Абзац списка1"/>
    <w:basedOn w:val="Style_3"/>
    <w:link w:val="Style_8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8_ch" w:type="character">
    <w:name w:val="Абзац списка1"/>
    <w:basedOn w:val="Style_3_ch"/>
    <w:link w:val="Style_8"/>
    <w:rPr>
      <w:rFonts w:ascii="Calibri" w:hAnsi="Calibri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/>
      <w:ind/>
    </w:pPr>
    <w:rPr>
      <w:rFonts w:ascii="Arial" w:hAnsi="Arial"/>
      <w:sz w:val="16"/>
    </w:rPr>
  </w:style>
  <w:style w:styleId="Style_20_ch" w:type="character">
    <w:name w:val="Balloon Text"/>
    <w:basedOn w:val="Style_3_ch"/>
    <w:link w:val="Style_20"/>
    <w:rPr>
      <w:rFonts w:ascii="Arial" w:hAnsi="Arial"/>
      <w:sz w:val="16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2025-02-14T07:29:38Z</dcterms:modified>
</cp:coreProperties>
</file>