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По внесению изменений в правила землепользования и застройки Михайловского сельского поселени</w:t>
            </w:r>
            <w:r>
              <w:rPr>
                <w:sz w:val="28"/>
              </w:rPr>
              <w:t>я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«27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10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 xml:space="preserve">Внесение изменений в правила землепользования и застройки </w:t>
            </w:r>
            <w:r>
              <w:rPr>
                <w:b w:val="1"/>
                <w:sz w:val="28"/>
                <w:u w:val="single"/>
              </w:rPr>
              <w:t>Михайловского</w:t>
            </w:r>
            <w:r>
              <w:rPr>
                <w:b w:val="1"/>
                <w:sz w:val="28"/>
                <w:u w:val="single"/>
              </w:rPr>
              <w:t xml:space="preserve"> сельского поселени</w:t>
            </w:r>
            <w:r>
              <w:rPr>
                <w:sz w:val="28"/>
              </w:rPr>
              <w:t>я</w:t>
            </w:r>
          </w:p>
          <w:p w14:paraId="23000000">
            <w:pPr>
              <w:spacing w:after="0"/>
              <w:ind/>
              <w:jc w:val="center"/>
              <w:rPr>
                <w:b w:val="1"/>
                <w:sz w:val="28"/>
                <w:u w:val="single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01.10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24.10</w:t>
            </w:r>
            <w:r>
              <w:rPr>
                <w:sz w:val="28"/>
              </w:rPr>
              <w:t>.2025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19 (девятнадцать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человек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«24</w:t>
            </w:r>
            <w:r>
              <w:rPr>
                <w:sz w:val="28"/>
                <w:u w:val="single"/>
              </w:rPr>
              <w:t>» 10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В период проведения публичных слушаний предложений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</w:tr>
      <w:tr>
        <w:trPr>
          <w:trHeight w:hRule="atLeast" w:val="789"/>
        </w:trP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rPr>
                <w:sz w:val="24"/>
              </w:rPr>
            </w:pP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r>
              <w:rPr>
                <w:sz w:val="28"/>
                <w:u w:val="single"/>
              </w:rPr>
              <w:t>связи</w:t>
            </w:r>
            <w:r>
              <w:rPr>
                <w:sz w:val="28"/>
                <w:u w:val="single"/>
              </w:rPr>
              <w:t xml:space="preserve"> с чем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                                                                     </w:t>
            </w:r>
            <w:r>
              <w:rPr>
                <w:sz w:val="28"/>
              </w:rPr>
              <w:t xml:space="preserve">А.Р. </w:t>
            </w:r>
            <w:r>
              <w:rPr>
                <w:sz w:val="28"/>
              </w:rPr>
              <w:t>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r>
              <w:t xml:space="preserve">     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/>
        </w:tc>
      </w:tr>
    </w:tbl>
    <w:p w14:paraId="86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3"/>
    <w:link w:val="Style_11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1_ch" w:type="character">
    <w:name w:val="heading 1"/>
    <w:basedOn w:val="Style_3_ch"/>
    <w:link w:val="Style_11"/>
    <w:rPr>
      <w:b w:val="1"/>
      <w:sz w:val="4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Абзац списка1"/>
    <w:basedOn w:val="Style_3"/>
    <w:link w:val="Style_19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9_ch" w:type="character">
    <w:name w:val="Абзац списка1"/>
    <w:basedOn w:val="Style_3_ch"/>
    <w:link w:val="Style_19"/>
    <w:rPr>
      <w:rFonts w:ascii="Calibri" w:hAnsi="Calibri"/>
      <w:sz w:val="22"/>
    </w:rPr>
  </w:style>
  <w:style w:styleId="Style_20" w:type="paragraph">
    <w:name w:val="ConsPlusNormal"/>
    <w:link w:val="Style_20_ch"/>
    <w:pPr>
      <w:widowControl w:val="0"/>
      <w:ind w:firstLine="720" w:left="0"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alloon Text"/>
    <w:basedOn w:val="Style_3"/>
    <w:link w:val="Style_23_ch"/>
    <w:pPr>
      <w:spacing w:after="0"/>
      <w:ind/>
    </w:pPr>
    <w:rPr>
      <w:rFonts w:ascii="Arial" w:hAnsi="Arial"/>
      <w:sz w:val="16"/>
    </w:rPr>
  </w:style>
  <w:style w:styleId="Style_23_ch" w:type="character">
    <w:name w:val="Balloon Text"/>
    <w:basedOn w:val="Style_3_ch"/>
    <w:link w:val="Style_23"/>
    <w:rPr>
      <w:rFonts w:ascii="Arial" w:hAnsi="Arial"/>
      <w:sz w:val="16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2025-10-27T05:06:09Z</dcterms:modified>
</cp:coreProperties>
</file>