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0" w:line="264" w:lineRule="auto"/>
        <w:ind w:hanging="10" w:left="9986" w:right="1701"/>
        <w:jc w:val="right"/>
        <w:rPr>
          <w:sz w:val="24"/>
        </w:rPr>
      </w:pPr>
      <w:r>
        <w:rPr>
          <w:rFonts w:ascii="Times New Roman" w:hAnsi="Times New Roman"/>
          <w:sz w:val="24"/>
        </w:rPr>
        <w:t>УТВЕРЖДАЮ:</w:t>
      </w:r>
    </w:p>
    <w:p w14:paraId="02000000">
      <w:pPr>
        <w:spacing w:after="305" w:line="276" w:lineRule="auto"/>
        <w:ind w:firstLine="0" w:left="9638"/>
        <w:jc w:val="center"/>
        <w:rPr>
          <w:sz w:val="24"/>
        </w:rPr>
      </w:pPr>
      <w:r>
        <w:rPr>
          <w:rFonts w:ascii="Times New Roman" w:hAnsi="Times New Roman"/>
          <w:sz w:val="24"/>
        </w:rPr>
        <w:t>Первый заместитель главы Администрации Красносулинского района по вопросам экономического развития и внутренней политике</w:t>
      </w:r>
    </w:p>
    <w:p w14:paraId="03000000">
      <w:pPr>
        <w:spacing w:after="584" w:line="264" w:lineRule="auto"/>
        <w:ind w:hanging="10" w:left="9986" w:right="3"/>
        <w:jc w:val="right"/>
        <w:rPr>
          <w:sz w:val="28"/>
        </w:rPr>
      </w:pP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</w:rPr>
        <w:t>Салимова В.Н.</w:t>
      </w:r>
    </w:p>
    <w:p w14:paraId="04000000">
      <w:pPr>
        <w:spacing w:after="170" w:line="264" w:lineRule="auto"/>
        <w:ind w:hanging="10" w:left="975"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Реестр аварийного жилищного фонда, расположенного на территории </w:t>
      </w:r>
      <w:r>
        <w:rPr>
          <w:rFonts w:ascii="Times New Roman" w:hAnsi="Times New Roman"/>
          <w:b w:val="1"/>
          <w:sz w:val="28"/>
        </w:rPr>
        <w:t>Красносулинского района</w:t>
      </w:r>
    </w:p>
    <w:tbl>
      <w:tblPr>
        <w:tblStyle w:val="Style_1"/>
        <w:tblInd w:type="dxa" w:w="-42"/>
        <w:tblLayout w:type="fixed"/>
        <w:tblCellMar>
          <w:top w:type="dxa" w:w="20"/>
          <w:left w:type="dxa" w:w="41"/>
          <w:right w:type="dxa" w:w="41"/>
        </w:tblCellMar>
      </w:tblPr>
      <w:tblGrid>
        <w:gridCol w:w="689"/>
        <w:gridCol w:w="4920"/>
        <w:gridCol w:w="2340"/>
        <w:gridCol w:w="2370"/>
        <w:gridCol w:w="1967"/>
        <w:gridCol w:w="2496"/>
      </w:tblGrid>
      <w:tr>
        <w:trPr>
          <w:trHeight w:hRule="atLeast" w:val="393"/>
        </w:trPr>
        <w:tc>
          <w:tcPr>
            <w:tcW w:type="dxa" w:w="6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 w14:paraId="05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492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 w14:paraId="06000000">
            <w:pPr>
              <w:spacing w:after="0"/>
              <w:ind w:firstLine="0" w:left="266" w:right="266"/>
              <w:jc w:val="center"/>
            </w:pPr>
            <w:r>
              <w:rPr>
                <w:rFonts w:ascii="Times New Roman" w:hAnsi="Times New Roman"/>
              </w:rPr>
              <w:t>Адрес многоквартирного жилого дома</w:t>
            </w:r>
          </w:p>
        </w:tc>
        <w:tc>
          <w:tcPr>
            <w:tcW w:type="dxa" w:w="23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 w14:paraId="07000000">
            <w:pPr>
              <w:spacing w:after="0"/>
              <w:ind w:firstLine="13" w:left="0"/>
              <w:jc w:val="center"/>
            </w:pPr>
            <w:r>
              <w:rPr>
                <w:rFonts w:ascii="Times New Roman" w:hAnsi="Times New Roman"/>
              </w:rPr>
              <w:t>Дата признания дома аварийным, подлежащим сносу или реконструкции</w:t>
            </w:r>
          </w:p>
        </w:tc>
        <w:tc>
          <w:tcPr>
            <w:tcW w:type="dxa" w:w="433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</w:tcPr>
          <w:p w14:paraId="08000000">
            <w:pPr>
              <w:spacing w:after="0"/>
              <w:ind w:firstLine="0" w:left="97"/>
            </w:pPr>
            <w:r>
              <w:rPr>
                <w:rFonts w:ascii="Times New Roman" w:hAnsi="Times New Roman"/>
              </w:rPr>
              <w:t>Сведения об аварийном жилищном фонде</w:t>
            </w:r>
          </w:p>
        </w:tc>
        <w:tc>
          <w:tcPr>
            <w:tcW w:type="dxa" w:w="249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 w14:paraId="09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</w:rPr>
              <w:t>Планируемая дата переселения</w:t>
            </w:r>
          </w:p>
        </w:tc>
      </w:tr>
      <w:tr>
        <w:trPr>
          <w:trHeight w:hRule="atLeast" w:val="872"/>
        </w:trPr>
        <w:tc>
          <w:tcPr>
            <w:tcW w:type="dxa" w:w="6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/>
        </w:tc>
        <w:tc>
          <w:tcPr>
            <w:tcW w:type="dxa" w:w="492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/>
        </w:tc>
        <w:tc>
          <w:tcPr>
            <w:tcW w:type="dxa" w:w="2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/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</w:tcPr>
          <w:p w14:paraId="0A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</w:rPr>
              <w:t>площадь помещений, подлежащих расселению (кв.м)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 w14:paraId="0B000000">
            <w:pPr>
              <w:spacing w:after="10"/>
              <w:ind/>
              <w:jc w:val="both"/>
            </w:pPr>
            <w:r>
              <w:rPr>
                <w:rFonts w:ascii="Times New Roman" w:hAnsi="Times New Roman"/>
              </w:rPr>
              <w:t>количество человек</w:t>
            </w:r>
          </w:p>
          <w:p w14:paraId="0C000000">
            <w:pPr>
              <w:spacing w:after="0"/>
              <w:ind/>
              <w:jc w:val="center"/>
            </w:pPr>
            <w:r>
              <w:rPr>
                <w:rFonts w:ascii="Times New Roman" w:hAnsi="Times New Roman"/>
              </w:rPr>
              <w:t>(ед.)</w:t>
            </w:r>
          </w:p>
        </w:tc>
        <w:tc>
          <w:tcPr>
            <w:tcW w:type="dxa" w:w="249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right w:type="dxa" w:w="41"/>
            </w:tcMar>
            <w:vAlign w:val="center"/>
          </w:tcPr>
          <w:p/>
        </w:tc>
      </w:tr>
      <w:tr>
        <w:trPr>
          <w:trHeight w:hRule="atLeast" w:val="291"/>
        </w:trPr>
        <w:tc>
          <w:tcPr>
            <w:tcW w:type="dxa" w:w="1478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0D000000">
            <w:pPr>
              <w:spacing w:after="123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Style w:val="Style_2_ch"/>
                <w:rFonts w:ascii="Times New Roman" w:hAnsi="Times New Roman"/>
                <w:b w:val="1"/>
              </w:rPr>
              <w:t>Красносулинское городское поселение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0E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г. Красный Сулин, ул.Мичурина, 12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0000000">
            <w:pPr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1000000">
            <w:pPr>
              <w:rPr>
                <w:sz w:val="24"/>
              </w:rPr>
            </w:pPr>
            <w:r>
              <w:rPr>
                <w:sz w:val="24"/>
              </w:rPr>
              <w:t>1052,7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2000000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3000000">
            <w:pPr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4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5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г. Красный Сулин, ул. Вокзальная, 40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6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7000000">
            <w:pPr>
              <w:rPr>
                <w:sz w:val="24"/>
              </w:rPr>
            </w:pPr>
            <w:r>
              <w:rPr>
                <w:sz w:val="24"/>
              </w:rPr>
              <w:t>63,8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8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9000000">
            <w:pPr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A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B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 ул. Транспортная, д. 13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C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16.12.2024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D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331,70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E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1F000000">
            <w:pPr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</w:tr>
      <w:tr>
        <w:trPr>
          <w:trHeight w:hRule="atLeast" w:val="452"/>
          <w:hidden w:val="0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0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1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 ул. Театральная, д. 6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2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3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553,30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4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5000000">
            <w:pPr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6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7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 ул. Мичурина, д. 7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8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26.03.2025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9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389,90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A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B000000">
            <w:pPr>
              <w:rPr>
                <w:sz w:val="24"/>
              </w:rPr>
            </w:pPr>
            <w:r>
              <w:rPr>
                <w:sz w:val="24"/>
              </w:rPr>
              <w:t>31.12.2028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C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D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 ул. Суворова, д. 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E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26.11.2025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2F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450,90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0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1000000">
            <w:pPr>
              <w:rPr>
                <w:sz w:val="24"/>
              </w:rPr>
            </w:pPr>
            <w:r>
              <w:rPr>
                <w:sz w:val="24"/>
              </w:rPr>
              <w:t>31.12.2029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2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3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Красный Сулин, ул. Мичурина, д. 10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4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17.02.2026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5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634,80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6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7000000">
            <w:pPr>
              <w:rPr>
                <w:sz w:val="24"/>
              </w:rPr>
            </w:pPr>
            <w:r>
              <w:rPr>
                <w:sz w:val="24"/>
              </w:rPr>
              <w:t>31.12.2029</w:t>
            </w:r>
          </w:p>
        </w:tc>
      </w:tr>
      <w:tr>
        <w:trPr>
          <w:trHeight w:hRule="atLeast" w:val="291"/>
        </w:trPr>
        <w:tc>
          <w:tcPr>
            <w:tcW w:type="dxa" w:w="1478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  <w:vAlign w:val="center"/>
          </w:tcPr>
          <w:p w14:paraId="38000000">
            <w:pPr>
              <w:spacing w:after="123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Style w:val="Style_2_ch"/>
                <w:rFonts w:ascii="Times New Roman" w:hAnsi="Times New Roman"/>
                <w:b w:val="1"/>
              </w:rPr>
              <w:t>Углеродовское городское поселение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9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A000000">
            <w:pPr>
              <w:pStyle w:val="Style_2"/>
              <w:spacing w:after="123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</w:t>
            </w:r>
            <w:r>
              <w:rPr>
                <w:rStyle w:val="Style_2_ch"/>
                <w:rFonts w:ascii="Times New Roman" w:hAnsi="Times New Roman"/>
                <w:sz w:val="24"/>
              </w:rPr>
              <w:t>. Углеродовский, ул.Московская 5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B000000">
            <w:pPr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C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419,2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D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E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р.п. Углеродовский, ул. Шахтерская, 99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20"/>
              <w:left w:type="dxa" w:w="41"/>
              <w:bottom w:type="dxa" w:w="0"/>
              <w:right w:type="dxa" w:w="41"/>
            </w:tcMar>
            <w:vAlign w:val="top"/>
          </w:tcPr>
          <w:p w14:paraId="41000000">
            <w:pPr>
              <w:spacing w:after="120" w:before="0"/>
              <w:ind w:firstLine="0" w:left="0" w:right="120"/>
              <w:jc w:val="left"/>
              <w:rPr>
                <w:rFonts w:ascii="Calibri" w:hAnsi="Calibri"/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</w:rPr>
              <w:t>14.10.2022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>650,1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3000000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4000000">
            <w:pPr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rPr>
          <w:trHeight w:hRule="atLeast" w:val="291"/>
        </w:trPr>
        <w:tc>
          <w:tcPr>
            <w:tcW w:type="dxa" w:w="1478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  <w:vAlign w:val="center"/>
          </w:tcPr>
          <w:p w14:paraId="4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Долотинское сельское поселение</w:t>
            </w:r>
          </w:p>
        </w:tc>
      </w:tr>
      <w:tr>
        <w:trPr>
          <w:trHeight w:hRule="atLeast" w:val="291"/>
        </w:trP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6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7000000">
            <w:pPr>
              <w:pStyle w:val="Style_2"/>
              <w:spacing w:after="123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пос. Первомайский ул. Ленина, д.48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8000000">
            <w:pPr>
              <w:rPr>
                <w:sz w:val="24"/>
              </w:rPr>
            </w:pPr>
            <w:r>
              <w:rPr>
                <w:sz w:val="24"/>
              </w:rPr>
              <w:t>10.02.2021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9000000">
            <w:pPr>
              <w:rPr>
                <w:sz w:val="24"/>
              </w:rPr>
            </w:pPr>
            <w:r>
              <w:rPr>
                <w:sz w:val="24"/>
              </w:rPr>
              <w:t>545,2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A000000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B000000">
            <w:pPr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C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  <w:vAlign w:val="top"/>
          </w:tcPr>
          <w:p w14:paraId="4D000000">
            <w:pPr>
              <w:spacing w:after="120" w:before="0"/>
              <w:ind w:firstLine="0" w:left="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пос. Первомайский, ул.Волгоградская д.4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E000000">
            <w:pPr>
              <w:spacing w:after="120" w:before="0"/>
              <w:ind w:firstLine="0" w:left="0" w:right="120"/>
              <w:jc w:val="left"/>
              <w:rPr>
                <w:sz w:val="24"/>
              </w:rPr>
            </w:pPr>
            <w:r>
              <w:rPr>
                <w:rStyle w:val="Style_2_ch"/>
                <w:sz w:val="24"/>
              </w:rPr>
              <w:t>30.12.2022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4F000000">
            <w:pPr>
              <w:rPr>
                <w:sz w:val="24"/>
              </w:rPr>
            </w:pPr>
            <w:r>
              <w:rPr>
                <w:sz w:val="24"/>
              </w:rPr>
              <w:t>98,9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0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2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3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пос. Первомайский, ул. Волгоградская, д.22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4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5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112,80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6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7000000">
            <w:pPr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c>
          <w:tcPr>
            <w:tcW w:type="dxa" w:w="1478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Ковалевское сельское поселение</w:t>
            </w:r>
          </w:p>
        </w:tc>
      </w:tr>
      <w:t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9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ст. Замчалово, ул. Пионерская, 6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B000000">
            <w:pPr>
              <w:pStyle w:val="Style_2"/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27.05.2022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812,5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D000000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5F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0000000">
            <w:pPr>
              <w:spacing w:after="123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ст. Замчалово, ул. Пионерская, 1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1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2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237,3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3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4000000">
            <w:pPr>
              <w:spacing w:after="123"/>
              <w:ind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  <w:tr>
        <w:tc>
          <w:tcPr>
            <w:tcW w:type="dxa" w:w="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6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ст. Замчалово, ул. Кооперативная, 11</w:t>
            </w:r>
          </w:p>
        </w:tc>
        <w:tc>
          <w:tcPr>
            <w:tcW w:type="dxa" w:w="2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  <w:vAlign w:val="top"/>
          </w:tcPr>
          <w:p w14:paraId="67000000">
            <w:pPr>
              <w:pStyle w:val="Style_2"/>
              <w:rPr>
                <w:sz w:val="24"/>
              </w:rPr>
            </w:pPr>
            <w:r>
              <w:rPr>
                <w:rStyle w:val="Style_2_ch"/>
                <w:sz w:val="24"/>
              </w:rPr>
              <w:t>15.09.2022</w:t>
            </w:r>
          </w:p>
        </w:tc>
        <w:tc>
          <w:tcPr>
            <w:tcW w:type="dxa" w:w="2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>650,0</w:t>
            </w:r>
          </w:p>
        </w:tc>
        <w:tc>
          <w:tcPr>
            <w:tcW w:type="dxa" w:w="19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9000000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type="dxa" w:w="24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0"/>
              <w:left w:type="dxa" w:w="41"/>
              <w:bottom w:type="dxa" w:w="0"/>
              <w:right w:type="dxa" w:w="41"/>
            </w:tcMar>
          </w:tcPr>
          <w:p w14:paraId="6A000000">
            <w:pPr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</w:tc>
      </w:tr>
    </w:tbl>
    <w:p w14:paraId="6B000000">
      <w:pPr>
        <w:spacing w:after="28" w:line="264" w:lineRule="auto"/>
        <w:ind w:hanging="10" w:left="-5"/>
      </w:pPr>
    </w:p>
    <w:sectPr>
      <w:pgSz w:h="11909" w:orient="landscape" w:w="16834"/>
      <w:pgMar w:bottom="973" w:footer="720" w:gutter="0" w:header="720" w:left="1050" w:right="1044" w:top="115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color w:val="000000"/>
      <w:sz w:val="22"/>
    </w:rPr>
  </w:style>
  <w:style w:default="1" w:styleId="Style_2_ch" w:type="character">
    <w:name w:val="Normal"/>
    <w:link w:val="Style_2"/>
    <w:rPr>
      <w:color w:val="000000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table">
    <w:name w:val="TableGrid"/>
    <w:rPr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2026-03-05T14:28:20Z</dcterms:modified>
</cp:coreProperties>
</file>