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073572">
      <w:pPr>
        <w:tabs>
          <w:tab w:val="left" w:pos="567"/>
        </w:tabs>
        <w:ind w:right="424"/>
        <w:rPr>
          <w:sz w:val="24"/>
          <w:szCs w:val="24"/>
        </w:rPr>
      </w:pPr>
    </w:p>
    <w:p w:rsidR="00EE306F" w:rsidRDefault="004B436D" w:rsidP="00EE306F">
      <w:pPr>
        <w:ind w:left="180" w:right="22" w:firstLine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54pt;height:57pt;visibility:visible">
            <v:imagedata r:id="rId7" o:title="g_sul_gr"/>
          </v:shape>
        </w:pict>
      </w:r>
    </w:p>
    <w:p w:rsidR="004B436D" w:rsidRPr="009A6B89" w:rsidRDefault="004B436D" w:rsidP="00EE306F">
      <w:pPr>
        <w:ind w:left="180" w:right="22" w:firstLine="0"/>
        <w:jc w:val="center"/>
        <w:rPr>
          <w:sz w:val="24"/>
          <w:szCs w:val="24"/>
        </w:rPr>
      </w:pPr>
    </w:p>
    <w:p w:rsidR="00EE306F" w:rsidRPr="004B436D" w:rsidRDefault="00EE306F" w:rsidP="00EE306F">
      <w:pPr>
        <w:ind w:firstLine="0"/>
        <w:jc w:val="center"/>
        <w:rPr>
          <w:b/>
          <w:sz w:val="26"/>
          <w:szCs w:val="26"/>
        </w:rPr>
      </w:pPr>
      <w:r w:rsidRPr="004B436D">
        <w:rPr>
          <w:b/>
          <w:sz w:val="26"/>
          <w:szCs w:val="26"/>
        </w:rPr>
        <w:t>СОБРАНИЕ ДЕПУТАТОВ</w:t>
      </w:r>
    </w:p>
    <w:p w:rsidR="00EE306F" w:rsidRPr="004B436D" w:rsidRDefault="00EE306F" w:rsidP="00EE306F">
      <w:pPr>
        <w:ind w:firstLine="0"/>
        <w:jc w:val="center"/>
        <w:rPr>
          <w:b/>
          <w:sz w:val="26"/>
          <w:szCs w:val="26"/>
        </w:rPr>
      </w:pPr>
      <w:r w:rsidRPr="004B436D">
        <w:rPr>
          <w:b/>
          <w:sz w:val="26"/>
          <w:szCs w:val="26"/>
        </w:rPr>
        <w:t>КРАСНОСУЛИНСКОГО РАЙОНА</w:t>
      </w:r>
    </w:p>
    <w:p w:rsidR="00EE306F" w:rsidRPr="004B436D" w:rsidRDefault="00EE306F" w:rsidP="00EE306F">
      <w:pPr>
        <w:ind w:firstLine="0"/>
        <w:jc w:val="center"/>
        <w:rPr>
          <w:b/>
          <w:sz w:val="26"/>
          <w:szCs w:val="26"/>
        </w:rPr>
      </w:pPr>
      <w:r w:rsidRPr="004B436D">
        <w:rPr>
          <w:b/>
          <w:sz w:val="26"/>
          <w:szCs w:val="26"/>
        </w:rPr>
        <w:t>РОСТОВСКОЙ ОБЛАСТИ</w:t>
      </w:r>
    </w:p>
    <w:p w:rsidR="00EE306F" w:rsidRPr="004B436D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4B436D" w:rsidRDefault="003B6B3F" w:rsidP="004F56D8">
      <w:pPr>
        <w:ind w:right="-104" w:firstLine="0"/>
        <w:jc w:val="center"/>
        <w:rPr>
          <w:b/>
          <w:sz w:val="26"/>
          <w:szCs w:val="26"/>
        </w:rPr>
      </w:pPr>
      <w:r w:rsidRPr="004B436D">
        <w:rPr>
          <w:b/>
          <w:sz w:val="26"/>
          <w:szCs w:val="26"/>
        </w:rPr>
        <w:t>РЕШЕНИЕ</w:t>
      </w:r>
    </w:p>
    <w:p w:rsidR="00EE306F" w:rsidRPr="004B436D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4B436D" w:rsidRDefault="00F918FD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4B436D">
        <w:rPr>
          <w:sz w:val="26"/>
          <w:szCs w:val="26"/>
        </w:rPr>
        <w:t>26.08.2025                                          №</w:t>
      </w:r>
      <w:r w:rsidR="00EE306F" w:rsidRPr="004B436D">
        <w:rPr>
          <w:sz w:val="26"/>
          <w:szCs w:val="26"/>
        </w:rPr>
        <w:t xml:space="preserve">  </w:t>
      </w:r>
      <w:r w:rsidR="004B436D">
        <w:rPr>
          <w:sz w:val="26"/>
          <w:szCs w:val="26"/>
        </w:rPr>
        <w:t>404</w:t>
      </w:r>
      <w:r w:rsidR="00AD5F4D" w:rsidRPr="004B436D">
        <w:rPr>
          <w:sz w:val="26"/>
          <w:szCs w:val="26"/>
        </w:rPr>
        <w:t xml:space="preserve">                </w:t>
      </w:r>
      <w:r w:rsidRPr="004B436D">
        <w:rPr>
          <w:sz w:val="26"/>
          <w:szCs w:val="26"/>
        </w:rPr>
        <w:t xml:space="preserve">            </w:t>
      </w:r>
      <w:r w:rsidR="00AD5F4D" w:rsidRPr="004B436D">
        <w:rPr>
          <w:sz w:val="26"/>
          <w:szCs w:val="26"/>
        </w:rPr>
        <w:t xml:space="preserve">  </w:t>
      </w:r>
      <w:r w:rsidR="00EE306F" w:rsidRPr="004B436D">
        <w:rPr>
          <w:sz w:val="26"/>
          <w:szCs w:val="26"/>
        </w:rPr>
        <w:t>г. Красный С</w:t>
      </w:r>
      <w:r w:rsidR="00EE306F" w:rsidRPr="004B436D">
        <w:rPr>
          <w:sz w:val="26"/>
          <w:szCs w:val="26"/>
        </w:rPr>
        <w:t>у</w:t>
      </w:r>
      <w:r w:rsidR="00EE306F" w:rsidRPr="004B436D">
        <w:rPr>
          <w:sz w:val="26"/>
          <w:szCs w:val="26"/>
        </w:rPr>
        <w:t>лин</w:t>
      </w:r>
    </w:p>
    <w:p w:rsidR="00EE306F" w:rsidRPr="004B436D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4B436D">
        <w:rPr>
          <w:sz w:val="26"/>
          <w:szCs w:val="26"/>
        </w:rPr>
        <w:tab/>
      </w:r>
    </w:p>
    <w:p w:rsidR="00EE306F" w:rsidRPr="004B436D" w:rsidRDefault="00D161FF" w:rsidP="00372A70">
      <w:pPr>
        <w:ind w:right="4315" w:firstLine="0"/>
        <w:rPr>
          <w:sz w:val="26"/>
          <w:szCs w:val="26"/>
        </w:rPr>
      </w:pPr>
      <w:r w:rsidRPr="004B436D">
        <w:rPr>
          <w:sz w:val="26"/>
          <w:szCs w:val="26"/>
        </w:rPr>
        <w:t>О</w:t>
      </w:r>
      <w:r w:rsidR="00372A70" w:rsidRPr="004B436D">
        <w:rPr>
          <w:sz w:val="26"/>
          <w:szCs w:val="26"/>
        </w:rPr>
        <w:t xml:space="preserve"> внесении изменений в приложение к реш</w:t>
      </w:r>
      <w:r w:rsidR="00372A70" w:rsidRPr="004B436D">
        <w:rPr>
          <w:sz w:val="26"/>
          <w:szCs w:val="26"/>
        </w:rPr>
        <w:t>е</w:t>
      </w:r>
      <w:r w:rsidR="00372A70" w:rsidRPr="004B436D">
        <w:rPr>
          <w:sz w:val="26"/>
          <w:szCs w:val="26"/>
        </w:rPr>
        <w:t>нию Собрания депутатов Красносулинского района от 27.02.2018 № 28</w:t>
      </w:r>
      <w:r w:rsidR="00152FD7" w:rsidRPr="004B436D">
        <w:rPr>
          <w:sz w:val="26"/>
          <w:szCs w:val="26"/>
        </w:rPr>
        <w:t>9</w:t>
      </w:r>
      <w:r w:rsidR="00372A70" w:rsidRPr="004B436D">
        <w:rPr>
          <w:sz w:val="26"/>
          <w:szCs w:val="26"/>
        </w:rPr>
        <w:t xml:space="preserve"> «Об утверждении местных нормативов градостроительного пр</w:t>
      </w:r>
      <w:r w:rsidR="00372A70" w:rsidRPr="004B436D">
        <w:rPr>
          <w:sz w:val="26"/>
          <w:szCs w:val="26"/>
        </w:rPr>
        <w:t>о</w:t>
      </w:r>
      <w:r w:rsidR="00372A70" w:rsidRPr="004B436D">
        <w:rPr>
          <w:sz w:val="26"/>
          <w:szCs w:val="26"/>
        </w:rPr>
        <w:t>ектирования муниципального образования «</w:t>
      </w:r>
      <w:r w:rsidR="00152FD7" w:rsidRPr="004B436D">
        <w:rPr>
          <w:sz w:val="26"/>
          <w:szCs w:val="26"/>
        </w:rPr>
        <w:t>Гуково-</w:t>
      </w:r>
      <w:proofErr w:type="spellStart"/>
      <w:r w:rsidR="00152FD7" w:rsidRPr="004B436D">
        <w:rPr>
          <w:sz w:val="26"/>
          <w:szCs w:val="26"/>
        </w:rPr>
        <w:t>Гнилушев</w:t>
      </w:r>
      <w:r w:rsidR="001C5C32" w:rsidRPr="004B436D">
        <w:rPr>
          <w:sz w:val="26"/>
          <w:szCs w:val="26"/>
        </w:rPr>
        <w:t>ское</w:t>
      </w:r>
      <w:proofErr w:type="spellEnd"/>
      <w:r w:rsidR="001C5C32" w:rsidRPr="004B436D">
        <w:rPr>
          <w:sz w:val="26"/>
          <w:szCs w:val="26"/>
        </w:rPr>
        <w:t xml:space="preserve"> сельское поселение»</w:t>
      </w:r>
      <w:r w:rsidR="00AD5F4D" w:rsidRPr="004B436D">
        <w:rPr>
          <w:sz w:val="26"/>
          <w:szCs w:val="26"/>
        </w:rPr>
        <w:t xml:space="preserve"> </w:t>
      </w:r>
      <w:r w:rsidR="00372A70" w:rsidRPr="004B436D">
        <w:rPr>
          <w:sz w:val="26"/>
          <w:szCs w:val="26"/>
        </w:rPr>
        <w:t>Красносулинск</w:t>
      </w:r>
      <w:r w:rsidR="00A766C5" w:rsidRPr="004B436D">
        <w:rPr>
          <w:sz w:val="26"/>
          <w:szCs w:val="26"/>
        </w:rPr>
        <w:t xml:space="preserve">ого </w:t>
      </w:r>
      <w:r w:rsidR="00372A70" w:rsidRPr="004B436D">
        <w:rPr>
          <w:sz w:val="26"/>
          <w:szCs w:val="26"/>
        </w:rPr>
        <w:t>район</w:t>
      </w:r>
      <w:r w:rsidR="00A766C5" w:rsidRPr="004B436D">
        <w:rPr>
          <w:sz w:val="26"/>
          <w:szCs w:val="26"/>
        </w:rPr>
        <w:t>а</w:t>
      </w:r>
      <w:r w:rsidR="00372A70" w:rsidRPr="004B436D">
        <w:rPr>
          <w:sz w:val="26"/>
          <w:szCs w:val="26"/>
        </w:rPr>
        <w:t xml:space="preserve"> Р</w:t>
      </w:r>
      <w:r w:rsidR="00372A70" w:rsidRPr="004B436D">
        <w:rPr>
          <w:sz w:val="26"/>
          <w:szCs w:val="26"/>
        </w:rPr>
        <w:t>о</w:t>
      </w:r>
      <w:r w:rsidR="00372A70" w:rsidRPr="004B436D">
        <w:rPr>
          <w:sz w:val="26"/>
          <w:szCs w:val="26"/>
        </w:rPr>
        <w:t>стовской области</w:t>
      </w:r>
    </w:p>
    <w:p w:rsidR="00372A70" w:rsidRPr="004B436D" w:rsidRDefault="00372A70" w:rsidP="00017E56">
      <w:pPr>
        <w:ind w:right="4315" w:firstLine="0"/>
        <w:rPr>
          <w:sz w:val="26"/>
          <w:szCs w:val="26"/>
        </w:rPr>
      </w:pPr>
    </w:p>
    <w:p w:rsidR="00F07B8B" w:rsidRPr="004B436D" w:rsidRDefault="00F07B8B" w:rsidP="00017E56">
      <w:pPr>
        <w:rPr>
          <w:sz w:val="26"/>
          <w:szCs w:val="26"/>
        </w:rPr>
      </w:pPr>
      <w:r w:rsidRPr="004B436D">
        <w:rPr>
          <w:sz w:val="26"/>
          <w:szCs w:val="26"/>
        </w:rPr>
        <w:t>В соответствии со ст</w:t>
      </w:r>
      <w:r w:rsidR="004B436D">
        <w:rPr>
          <w:sz w:val="26"/>
          <w:szCs w:val="26"/>
        </w:rPr>
        <w:t>атьей</w:t>
      </w:r>
      <w:r w:rsidRPr="004B436D">
        <w:rPr>
          <w:sz w:val="26"/>
          <w:szCs w:val="26"/>
        </w:rPr>
        <w:t xml:space="preserve"> 29.4. </w:t>
      </w:r>
      <w:proofErr w:type="gramStart"/>
      <w:r w:rsidRPr="004B436D">
        <w:rPr>
          <w:sz w:val="26"/>
          <w:szCs w:val="26"/>
        </w:rPr>
        <w:t>Градостроительного кодекса Российской Фед</w:t>
      </w:r>
      <w:r w:rsidRPr="004B436D">
        <w:rPr>
          <w:sz w:val="26"/>
          <w:szCs w:val="26"/>
        </w:rPr>
        <w:t>е</w:t>
      </w:r>
      <w:r w:rsidRPr="004B436D">
        <w:rPr>
          <w:sz w:val="26"/>
          <w:szCs w:val="26"/>
        </w:rPr>
        <w:t>рации, Федеральным законом от 06.10.2003 № 131-ФЗ «Об общих принципах орган</w:t>
      </w:r>
      <w:r w:rsidRPr="004B436D">
        <w:rPr>
          <w:sz w:val="26"/>
          <w:szCs w:val="26"/>
        </w:rPr>
        <w:t>и</w:t>
      </w:r>
      <w:r w:rsidRPr="004B436D">
        <w:rPr>
          <w:sz w:val="26"/>
          <w:szCs w:val="26"/>
        </w:rPr>
        <w:t>зации  местного  самоуправления в Российской Федерации», постановлением Адм</w:t>
      </w:r>
      <w:r w:rsidRPr="004B436D">
        <w:rPr>
          <w:sz w:val="26"/>
          <w:szCs w:val="26"/>
        </w:rPr>
        <w:t>и</w:t>
      </w:r>
      <w:r w:rsidRPr="004B436D">
        <w:rPr>
          <w:sz w:val="26"/>
          <w:szCs w:val="26"/>
        </w:rPr>
        <w:t>нистрации Красносулинского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4B436D">
        <w:rPr>
          <w:sz w:val="26"/>
          <w:szCs w:val="26"/>
        </w:rPr>
        <w:t>, постановлением Министерства строительства Ростовской области от 29.12.2023 N 29 «Об утвержд</w:t>
      </w:r>
      <w:r w:rsidR="004849FE" w:rsidRPr="004B436D">
        <w:rPr>
          <w:sz w:val="26"/>
          <w:szCs w:val="26"/>
        </w:rPr>
        <w:t>е</w:t>
      </w:r>
      <w:r w:rsidR="004849FE" w:rsidRPr="004B436D">
        <w:rPr>
          <w:sz w:val="26"/>
          <w:szCs w:val="26"/>
        </w:rPr>
        <w:t>нии Нормативов градостроительного проектирования Ростовской области»</w:t>
      </w:r>
      <w:r w:rsidRPr="004B436D">
        <w:rPr>
          <w:sz w:val="26"/>
          <w:szCs w:val="26"/>
        </w:rPr>
        <w:t>, руково</w:t>
      </w:r>
      <w:r w:rsidRPr="004B436D">
        <w:rPr>
          <w:sz w:val="26"/>
          <w:szCs w:val="26"/>
        </w:rPr>
        <w:t>д</w:t>
      </w:r>
      <w:r w:rsidRPr="004B436D">
        <w:rPr>
          <w:sz w:val="26"/>
          <w:szCs w:val="26"/>
        </w:rPr>
        <w:t>ствуясь статьей  26</w:t>
      </w:r>
      <w:proofErr w:type="gramEnd"/>
      <w:r w:rsidRPr="004B436D">
        <w:rPr>
          <w:sz w:val="26"/>
          <w:szCs w:val="26"/>
        </w:rPr>
        <w:t xml:space="preserve"> Устава муниципального образования «Краснос</w:t>
      </w:r>
      <w:r w:rsidRPr="004B436D">
        <w:rPr>
          <w:sz w:val="26"/>
          <w:szCs w:val="26"/>
        </w:rPr>
        <w:t>у</w:t>
      </w:r>
      <w:r w:rsidRPr="004B436D">
        <w:rPr>
          <w:sz w:val="26"/>
          <w:szCs w:val="26"/>
        </w:rPr>
        <w:t>линский  район»,-</w:t>
      </w:r>
    </w:p>
    <w:p w:rsidR="00EE306F" w:rsidRPr="004B436D" w:rsidRDefault="00EE306F" w:rsidP="00017E56">
      <w:pPr>
        <w:ind w:firstLine="720"/>
        <w:rPr>
          <w:sz w:val="26"/>
          <w:szCs w:val="26"/>
        </w:rPr>
      </w:pPr>
    </w:p>
    <w:p w:rsidR="00EE306F" w:rsidRPr="004B436D" w:rsidRDefault="00EE306F" w:rsidP="00581A5E">
      <w:pPr>
        <w:ind w:firstLine="0"/>
        <w:jc w:val="center"/>
        <w:rPr>
          <w:spacing w:val="38"/>
          <w:sz w:val="26"/>
          <w:szCs w:val="26"/>
        </w:rPr>
      </w:pPr>
      <w:r w:rsidRPr="004B436D">
        <w:rPr>
          <w:spacing w:val="38"/>
          <w:sz w:val="26"/>
          <w:szCs w:val="26"/>
        </w:rPr>
        <w:t>СОБРАНИЕ ДЕПУТАТОВ РЕШИЛО:</w:t>
      </w:r>
    </w:p>
    <w:p w:rsidR="00EE306F" w:rsidRPr="004B436D" w:rsidRDefault="00EE306F" w:rsidP="00017E56">
      <w:pPr>
        <w:ind w:firstLine="0"/>
        <w:rPr>
          <w:spacing w:val="38"/>
          <w:sz w:val="26"/>
          <w:szCs w:val="26"/>
        </w:rPr>
      </w:pPr>
    </w:p>
    <w:p w:rsidR="0038634F" w:rsidRPr="004B436D" w:rsidRDefault="00EE306F" w:rsidP="00BF6131">
      <w:pPr>
        <w:ind w:right="54"/>
        <w:rPr>
          <w:sz w:val="26"/>
          <w:szCs w:val="26"/>
        </w:rPr>
      </w:pPr>
      <w:r w:rsidRPr="004B436D">
        <w:rPr>
          <w:sz w:val="26"/>
          <w:szCs w:val="26"/>
        </w:rPr>
        <w:t xml:space="preserve">1. </w:t>
      </w:r>
      <w:r w:rsidR="0038634F" w:rsidRPr="004B436D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4B436D">
        <w:rPr>
          <w:sz w:val="26"/>
          <w:szCs w:val="26"/>
        </w:rPr>
        <w:t>й</w:t>
      </w:r>
      <w:r w:rsidR="0038634F" w:rsidRPr="004B436D">
        <w:rPr>
          <w:sz w:val="26"/>
          <w:szCs w:val="26"/>
        </w:rPr>
        <w:t>она от 27.02.2018 № 28</w:t>
      </w:r>
      <w:r w:rsidR="00152FD7" w:rsidRPr="004B436D">
        <w:rPr>
          <w:sz w:val="26"/>
          <w:szCs w:val="26"/>
        </w:rPr>
        <w:t xml:space="preserve">9 </w:t>
      </w:r>
      <w:r w:rsidR="0038634F" w:rsidRPr="004B436D">
        <w:rPr>
          <w:sz w:val="26"/>
          <w:szCs w:val="26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97408D" w:rsidRPr="004B436D">
        <w:rPr>
          <w:sz w:val="26"/>
          <w:szCs w:val="26"/>
        </w:rPr>
        <w:t>«</w:t>
      </w:r>
      <w:r w:rsidR="00152FD7" w:rsidRPr="004B436D">
        <w:rPr>
          <w:sz w:val="26"/>
          <w:szCs w:val="26"/>
        </w:rPr>
        <w:t>Гуково-</w:t>
      </w:r>
      <w:proofErr w:type="spellStart"/>
      <w:r w:rsidR="00152FD7" w:rsidRPr="004B436D">
        <w:rPr>
          <w:sz w:val="26"/>
          <w:szCs w:val="26"/>
        </w:rPr>
        <w:t>Гнилуше</w:t>
      </w:r>
      <w:r w:rsidR="000F4E1E" w:rsidRPr="004B436D">
        <w:rPr>
          <w:sz w:val="26"/>
          <w:szCs w:val="26"/>
        </w:rPr>
        <w:t>вское</w:t>
      </w:r>
      <w:proofErr w:type="spellEnd"/>
      <w:r w:rsidR="000F4E1E" w:rsidRPr="004B436D">
        <w:rPr>
          <w:sz w:val="26"/>
          <w:szCs w:val="26"/>
        </w:rPr>
        <w:t xml:space="preserve"> сельское пос</w:t>
      </w:r>
      <w:r w:rsidR="000F4E1E" w:rsidRPr="004B436D">
        <w:rPr>
          <w:sz w:val="26"/>
          <w:szCs w:val="26"/>
        </w:rPr>
        <w:t>е</w:t>
      </w:r>
      <w:r w:rsidR="000F4E1E" w:rsidRPr="004B436D">
        <w:rPr>
          <w:sz w:val="26"/>
          <w:szCs w:val="26"/>
        </w:rPr>
        <w:t>ление»</w:t>
      </w:r>
      <w:r w:rsidR="00284CF0" w:rsidRPr="004B436D">
        <w:rPr>
          <w:sz w:val="26"/>
          <w:szCs w:val="26"/>
        </w:rPr>
        <w:t xml:space="preserve"> Красносулинского района Ростовской области </w:t>
      </w:r>
      <w:r w:rsidR="00297180" w:rsidRPr="004B436D">
        <w:rPr>
          <w:sz w:val="26"/>
          <w:szCs w:val="26"/>
        </w:rPr>
        <w:t>изменения согласно прилож</w:t>
      </w:r>
      <w:r w:rsidR="00297180" w:rsidRPr="004B436D">
        <w:rPr>
          <w:sz w:val="26"/>
          <w:szCs w:val="26"/>
        </w:rPr>
        <w:t>е</w:t>
      </w:r>
      <w:r w:rsidR="00297180" w:rsidRPr="004B436D">
        <w:rPr>
          <w:sz w:val="26"/>
          <w:szCs w:val="26"/>
        </w:rPr>
        <w:t xml:space="preserve">нию к данному </w:t>
      </w:r>
      <w:r w:rsidR="00217EAF" w:rsidRPr="004B436D">
        <w:rPr>
          <w:sz w:val="26"/>
          <w:szCs w:val="26"/>
        </w:rPr>
        <w:t>р</w:t>
      </w:r>
      <w:r w:rsidR="00297180" w:rsidRPr="004B436D">
        <w:rPr>
          <w:sz w:val="26"/>
          <w:szCs w:val="26"/>
        </w:rPr>
        <w:t>ешению.</w:t>
      </w:r>
    </w:p>
    <w:p w:rsidR="00FD6E08" w:rsidRDefault="00732BFD" w:rsidP="00017E56">
      <w:pPr>
        <w:rPr>
          <w:sz w:val="26"/>
          <w:szCs w:val="26"/>
        </w:rPr>
      </w:pPr>
      <w:r w:rsidRPr="004B436D">
        <w:rPr>
          <w:sz w:val="26"/>
          <w:szCs w:val="26"/>
        </w:rPr>
        <w:t xml:space="preserve">2. </w:t>
      </w:r>
      <w:proofErr w:type="gramStart"/>
      <w:r w:rsidRPr="004B436D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4B436D">
        <w:rPr>
          <w:sz w:val="26"/>
          <w:szCs w:val="26"/>
        </w:rPr>
        <w:t>ь</w:t>
      </w:r>
      <w:r w:rsidRPr="004B436D">
        <w:rPr>
          <w:sz w:val="26"/>
          <w:szCs w:val="26"/>
        </w:rPr>
        <w:t xml:space="preserve">ного образования </w:t>
      </w:r>
      <w:r w:rsidR="006B7E54" w:rsidRPr="004B436D">
        <w:rPr>
          <w:sz w:val="26"/>
          <w:szCs w:val="26"/>
        </w:rPr>
        <w:t>«</w:t>
      </w:r>
      <w:r w:rsidR="00152FD7" w:rsidRPr="004B436D">
        <w:rPr>
          <w:sz w:val="26"/>
          <w:szCs w:val="26"/>
        </w:rPr>
        <w:t>Гуково-</w:t>
      </w:r>
      <w:proofErr w:type="spellStart"/>
      <w:r w:rsidR="00152FD7" w:rsidRPr="004B436D">
        <w:rPr>
          <w:sz w:val="26"/>
          <w:szCs w:val="26"/>
        </w:rPr>
        <w:t>Гнилушевское</w:t>
      </w:r>
      <w:proofErr w:type="spellEnd"/>
      <w:r w:rsidR="001C5C32" w:rsidRPr="004B436D">
        <w:rPr>
          <w:sz w:val="26"/>
          <w:szCs w:val="26"/>
        </w:rPr>
        <w:t xml:space="preserve"> сельское поселение»</w:t>
      </w:r>
      <w:r w:rsidR="006B7E54" w:rsidRPr="004B436D">
        <w:rPr>
          <w:sz w:val="26"/>
          <w:szCs w:val="26"/>
        </w:rPr>
        <w:t xml:space="preserve"> Красносулинского района Ростовской области</w:t>
      </w:r>
      <w:r w:rsidRPr="004B436D">
        <w:rPr>
          <w:sz w:val="26"/>
          <w:szCs w:val="26"/>
        </w:rPr>
        <w:t xml:space="preserve"> с внесенными настоящим решением изменениями на са</w:t>
      </w:r>
      <w:r w:rsidRPr="004B436D">
        <w:rPr>
          <w:sz w:val="26"/>
          <w:szCs w:val="26"/>
        </w:rPr>
        <w:t>й</w:t>
      </w:r>
      <w:r w:rsidRPr="004B436D">
        <w:rPr>
          <w:sz w:val="26"/>
          <w:szCs w:val="26"/>
        </w:rPr>
        <w:t>те Администрации Красносулинского района</w:t>
      </w:r>
      <w:r w:rsidR="003B6B3F" w:rsidRPr="004B436D">
        <w:rPr>
          <w:sz w:val="26"/>
          <w:szCs w:val="26"/>
        </w:rPr>
        <w:t xml:space="preserve">, </w:t>
      </w:r>
      <w:r w:rsidR="00CA0FE2" w:rsidRPr="004B436D">
        <w:rPr>
          <w:sz w:val="26"/>
          <w:szCs w:val="26"/>
        </w:rPr>
        <w:t>а также в Федеральной государстве</w:t>
      </w:r>
      <w:r w:rsidR="00CA0FE2" w:rsidRPr="004B436D">
        <w:rPr>
          <w:sz w:val="26"/>
          <w:szCs w:val="26"/>
        </w:rPr>
        <w:t>н</w:t>
      </w:r>
      <w:r w:rsidR="00CA0FE2" w:rsidRPr="004B436D">
        <w:rPr>
          <w:sz w:val="26"/>
          <w:szCs w:val="26"/>
        </w:rPr>
        <w:t xml:space="preserve">ной </w:t>
      </w:r>
      <w:r w:rsidR="00005249" w:rsidRPr="004B436D">
        <w:rPr>
          <w:sz w:val="26"/>
          <w:szCs w:val="26"/>
        </w:rPr>
        <w:t>информационной системе территориального планирования в срок, не превыш</w:t>
      </w:r>
      <w:r w:rsidR="00005249" w:rsidRPr="004B436D">
        <w:rPr>
          <w:sz w:val="26"/>
          <w:szCs w:val="26"/>
        </w:rPr>
        <w:t>а</w:t>
      </w:r>
      <w:r w:rsidR="00005249" w:rsidRPr="004B436D">
        <w:rPr>
          <w:sz w:val="26"/>
          <w:szCs w:val="26"/>
        </w:rPr>
        <w:t>ющий пяти дней со дня утверждения указа</w:t>
      </w:r>
      <w:r w:rsidR="00005249" w:rsidRPr="004B436D">
        <w:rPr>
          <w:sz w:val="26"/>
          <w:szCs w:val="26"/>
        </w:rPr>
        <w:t>н</w:t>
      </w:r>
      <w:r w:rsidR="00005249" w:rsidRPr="004B436D">
        <w:rPr>
          <w:sz w:val="26"/>
          <w:szCs w:val="26"/>
        </w:rPr>
        <w:t>ных нормативов</w:t>
      </w:r>
      <w:r w:rsidR="00CA0FE2" w:rsidRPr="004B436D">
        <w:rPr>
          <w:sz w:val="26"/>
          <w:szCs w:val="26"/>
        </w:rPr>
        <w:t>.</w:t>
      </w:r>
      <w:proofErr w:type="gramEnd"/>
    </w:p>
    <w:p w:rsidR="004B436D" w:rsidRDefault="004B436D" w:rsidP="00017E56">
      <w:pPr>
        <w:rPr>
          <w:sz w:val="26"/>
          <w:szCs w:val="26"/>
        </w:rPr>
      </w:pPr>
    </w:p>
    <w:p w:rsidR="004B436D" w:rsidRDefault="004B436D" w:rsidP="00017E56">
      <w:pPr>
        <w:rPr>
          <w:sz w:val="26"/>
          <w:szCs w:val="26"/>
        </w:rPr>
      </w:pPr>
    </w:p>
    <w:p w:rsidR="004B436D" w:rsidRDefault="004B436D" w:rsidP="00017E56">
      <w:pPr>
        <w:rPr>
          <w:sz w:val="26"/>
          <w:szCs w:val="26"/>
        </w:rPr>
      </w:pPr>
    </w:p>
    <w:p w:rsidR="004B436D" w:rsidRDefault="004B436D" w:rsidP="00017E56">
      <w:pPr>
        <w:rPr>
          <w:sz w:val="26"/>
          <w:szCs w:val="26"/>
        </w:rPr>
      </w:pPr>
    </w:p>
    <w:p w:rsidR="004B436D" w:rsidRPr="004B436D" w:rsidRDefault="004B436D" w:rsidP="00017E56">
      <w:pPr>
        <w:rPr>
          <w:sz w:val="26"/>
          <w:szCs w:val="26"/>
        </w:rPr>
      </w:pPr>
    </w:p>
    <w:p w:rsidR="00732BFD" w:rsidRPr="004B436D" w:rsidRDefault="00CA0FE2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  <w:r w:rsidRPr="004B436D">
        <w:rPr>
          <w:bCs/>
          <w:sz w:val="26"/>
          <w:szCs w:val="26"/>
        </w:rPr>
        <w:t>3</w:t>
      </w:r>
      <w:r w:rsidR="00732BFD" w:rsidRPr="004B436D">
        <w:rPr>
          <w:bCs/>
          <w:sz w:val="26"/>
          <w:szCs w:val="26"/>
        </w:rPr>
        <w:t xml:space="preserve">. Настоящее </w:t>
      </w:r>
      <w:r w:rsidRPr="004B436D">
        <w:rPr>
          <w:bCs/>
          <w:sz w:val="26"/>
          <w:szCs w:val="26"/>
        </w:rPr>
        <w:t>решение вступает в силу с момента его опубликования в сре</w:t>
      </w:r>
      <w:r w:rsidRPr="004B436D">
        <w:rPr>
          <w:bCs/>
          <w:sz w:val="26"/>
          <w:szCs w:val="26"/>
        </w:rPr>
        <w:t>д</w:t>
      </w:r>
      <w:r w:rsidRPr="004B436D">
        <w:rPr>
          <w:bCs/>
          <w:sz w:val="26"/>
          <w:szCs w:val="26"/>
        </w:rPr>
        <w:t>ствах массовой</w:t>
      </w:r>
      <w:r w:rsidR="00AD5F4D" w:rsidRPr="004B436D">
        <w:rPr>
          <w:bCs/>
          <w:sz w:val="26"/>
          <w:szCs w:val="26"/>
        </w:rPr>
        <w:t xml:space="preserve"> </w:t>
      </w:r>
      <w:r w:rsidRPr="004B436D">
        <w:rPr>
          <w:bCs/>
          <w:sz w:val="26"/>
          <w:szCs w:val="26"/>
        </w:rPr>
        <w:t>информации и подлежит размещению на официальном сайте Адм</w:t>
      </w:r>
      <w:r w:rsidRPr="004B436D">
        <w:rPr>
          <w:bCs/>
          <w:sz w:val="26"/>
          <w:szCs w:val="26"/>
        </w:rPr>
        <w:t>и</w:t>
      </w:r>
      <w:r w:rsidRPr="004B436D">
        <w:rPr>
          <w:bCs/>
          <w:sz w:val="26"/>
          <w:szCs w:val="26"/>
        </w:rPr>
        <w:t>нистрации Красн</w:t>
      </w:r>
      <w:r w:rsidRPr="004B436D">
        <w:rPr>
          <w:bCs/>
          <w:sz w:val="26"/>
          <w:szCs w:val="26"/>
        </w:rPr>
        <w:t>о</w:t>
      </w:r>
      <w:r w:rsidRPr="004B436D">
        <w:rPr>
          <w:bCs/>
          <w:sz w:val="26"/>
          <w:szCs w:val="26"/>
        </w:rPr>
        <w:t>сулинского района в информационно-телекоммуникационной сети «Интернет».</w:t>
      </w:r>
    </w:p>
    <w:p w:rsidR="00732BFD" w:rsidRPr="004B436D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4B436D">
        <w:rPr>
          <w:spacing w:val="-2"/>
          <w:sz w:val="26"/>
          <w:szCs w:val="26"/>
        </w:rPr>
        <w:t>4</w:t>
      </w:r>
      <w:r w:rsidR="00732BFD" w:rsidRPr="004B436D">
        <w:rPr>
          <w:spacing w:val="-2"/>
          <w:sz w:val="26"/>
          <w:szCs w:val="26"/>
        </w:rPr>
        <w:t>. </w:t>
      </w:r>
      <w:proofErr w:type="gramStart"/>
      <w:r w:rsidR="00732BFD" w:rsidRPr="004B436D">
        <w:rPr>
          <w:spacing w:val="-2"/>
          <w:sz w:val="26"/>
          <w:szCs w:val="26"/>
        </w:rPr>
        <w:t>Контроль за</w:t>
      </w:r>
      <w:proofErr w:type="gramEnd"/>
      <w:r w:rsidR="00732BFD" w:rsidRPr="004B436D">
        <w:rPr>
          <w:spacing w:val="-2"/>
          <w:sz w:val="26"/>
          <w:szCs w:val="26"/>
        </w:rPr>
        <w:t xml:space="preserve"> исполнением настоящего </w:t>
      </w:r>
      <w:r w:rsidRPr="004B436D">
        <w:rPr>
          <w:spacing w:val="-2"/>
          <w:sz w:val="26"/>
          <w:szCs w:val="26"/>
        </w:rPr>
        <w:t>реш</w:t>
      </w:r>
      <w:r w:rsidR="00732BFD" w:rsidRPr="004B436D">
        <w:rPr>
          <w:spacing w:val="-2"/>
          <w:sz w:val="26"/>
          <w:szCs w:val="26"/>
        </w:rPr>
        <w:t>ения возложить на заместителя гл</w:t>
      </w:r>
      <w:r w:rsidR="00732BFD" w:rsidRPr="004B436D">
        <w:rPr>
          <w:spacing w:val="-2"/>
          <w:sz w:val="26"/>
          <w:szCs w:val="26"/>
        </w:rPr>
        <w:t>а</w:t>
      </w:r>
      <w:r w:rsidR="00732BFD" w:rsidRPr="004B436D">
        <w:rPr>
          <w:spacing w:val="-2"/>
          <w:sz w:val="26"/>
          <w:szCs w:val="26"/>
        </w:rPr>
        <w:t>вы А</w:t>
      </w:r>
      <w:r w:rsidR="00732BFD" w:rsidRPr="004B436D">
        <w:rPr>
          <w:spacing w:val="-2"/>
          <w:sz w:val="26"/>
          <w:szCs w:val="26"/>
        </w:rPr>
        <w:t>д</w:t>
      </w:r>
      <w:r w:rsidR="00732BFD" w:rsidRPr="004B436D">
        <w:rPr>
          <w:spacing w:val="-2"/>
          <w:sz w:val="26"/>
          <w:szCs w:val="26"/>
        </w:rPr>
        <w:t>министрации Красносулинского района-</w:t>
      </w:r>
      <w:r w:rsidR="00732BFD" w:rsidRPr="004B436D">
        <w:rPr>
          <w:spacing w:val="-1"/>
          <w:sz w:val="26"/>
          <w:szCs w:val="26"/>
        </w:rPr>
        <w:t xml:space="preserve">главного архитектора </w:t>
      </w:r>
      <w:proofErr w:type="spellStart"/>
      <w:r w:rsidR="00732BFD" w:rsidRPr="004B436D">
        <w:rPr>
          <w:spacing w:val="-1"/>
          <w:sz w:val="26"/>
          <w:szCs w:val="26"/>
        </w:rPr>
        <w:t>Бисаинова</w:t>
      </w:r>
      <w:proofErr w:type="spellEnd"/>
      <w:r w:rsidR="00732BFD" w:rsidRPr="004B436D">
        <w:rPr>
          <w:spacing w:val="-1"/>
          <w:sz w:val="26"/>
          <w:szCs w:val="26"/>
        </w:rPr>
        <w:t xml:space="preserve"> А.Р.</w:t>
      </w:r>
    </w:p>
    <w:p w:rsidR="004B436D" w:rsidRDefault="004B436D" w:rsidP="004B436D">
      <w:pPr>
        <w:tabs>
          <w:tab w:val="right" w:pos="9923"/>
        </w:tabs>
        <w:ind w:firstLine="0"/>
        <w:jc w:val="left"/>
        <w:rPr>
          <w:spacing w:val="-33"/>
          <w:sz w:val="26"/>
          <w:szCs w:val="26"/>
        </w:rPr>
      </w:pPr>
    </w:p>
    <w:p w:rsidR="004B436D" w:rsidRDefault="004B436D" w:rsidP="004B436D">
      <w:pPr>
        <w:tabs>
          <w:tab w:val="right" w:pos="9923"/>
        </w:tabs>
        <w:ind w:firstLine="0"/>
        <w:jc w:val="left"/>
        <w:rPr>
          <w:spacing w:val="-33"/>
          <w:sz w:val="26"/>
          <w:szCs w:val="26"/>
        </w:rPr>
      </w:pPr>
    </w:p>
    <w:p w:rsidR="004B436D" w:rsidRDefault="004B436D" w:rsidP="004B436D">
      <w:pPr>
        <w:tabs>
          <w:tab w:val="right" w:pos="9923"/>
        </w:tabs>
        <w:ind w:firstLine="0"/>
        <w:jc w:val="left"/>
        <w:rPr>
          <w:spacing w:val="-33"/>
          <w:sz w:val="26"/>
          <w:szCs w:val="26"/>
        </w:rPr>
      </w:pPr>
    </w:p>
    <w:p w:rsidR="00810DE0" w:rsidRPr="004B436D" w:rsidRDefault="00810DE0" w:rsidP="004B436D">
      <w:pPr>
        <w:tabs>
          <w:tab w:val="right" w:pos="9923"/>
        </w:tabs>
        <w:ind w:firstLine="0"/>
        <w:jc w:val="left"/>
        <w:rPr>
          <w:sz w:val="26"/>
          <w:szCs w:val="26"/>
        </w:rPr>
      </w:pPr>
      <w:r w:rsidRPr="004B436D">
        <w:rPr>
          <w:sz w:val="26"/>
          <w:szCs w:val="26"/>
        </w:rPr>
        <w:t>Глава</w:t>
      </w:r>
      <w:r w:rsidR="00AD5F4D" w:rsidRPr="004B436D">
        <w:rPr>
          <w:sz w:val="26"/>
          <w:szCs w:val="26"/>
        </w:rPr>
        <w:t xml:space="preserve"> </w:t>
      </w:r>
      <w:r w:rsidRPr="004B436D">
        <w:rPr>
          <w:sz w:val="26"/>
          <w:szCs w:val="26"/>
        </w:rPr>
        <w:t xml:space="preserve">Красносулинского района                     </w:t>
      </w:r>
      <w:r w:rsidR="008A583D" w:rsidRPr="004B436D">
        <w:rPr>
          <w:sz w:val="26"/>
          <w:szCs w:val="26"/>
        </w:rPr>
        <w:t xml:space="preserve">                                 </w:t>
      </w:r>
      <w:r w:rsidRPr="004B436D">
        <w:rPr>
          <w:sz w:val="26"/>
          <w:szCs w:val="26"/>
        </w:rPr>
        <w:t xml:space="preserve">       И.С. </w:t>
      </w:r>
      <w:proofErr w:type="spellStart"/>
      <w:r w:rsidRPr="004B436D">
        <w:rPr>
          <w:sz w:val="26"/>
          <w:szCs w:val="26"/>
        </w:rPr>
        <w:t>Ки</w:t>
      </w:r>
      <w:r w:rsidRPr="004B436D">
        <w:rPr>
          <w:sz w:val="26"/>
          <w:szCs w:val="26"/>
        </w:rPr>
        <w:t>р</w:t>
      </w:r>
      <w:r w:rsidRPr="004B436D">
        <w:rPr>
          <w:sz w:val="26"/>
          <w:szCs w:val="26"/>
        </w:rPr>
        <w:t>пичков</w:t>
      </w:r>
      <w:proofErr w:type="spellEnd"/>
    </w:p>
    <w:p w:rsidR="00073572" w:rsidRPr="004B436D" w:rsidRDefault="00073572" w:rsidP="006246FC">
      <w:pPr>
        <w:ind w:firstLine="0"/>
        <w:rPr>
          <w:sz w:val="26"/>
          <w:szCs w:val="26"/>
        </w:rPr>
      </w:pPr>
    </w:p>
    <w:p w:rsidR="00217EAF" w:rsidRDefault="00217EAF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  <w:bookmarkStart w:id="0" w:name="_GoBack"/>
      <w:bookmarkEnd w:id="0"/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4B436D" w:rsidRDefault="004B436D" w:rsidP="003A6902">
      <w:pPr>
        <w:ind w:left="1134" w:firstLine="0"/>
        <w:jc w:val="right"/>
        <w:rPr>
          <w:sz w:val="22"/>
          <w:szCs w:val="22"/>
        </w:rPr>
      </w:pPr>
    </w:p>
    <w:p w:rsidR="003A6902" w:rsidRPr="004B436D" w:rsidRDefault="003A6902" w:rsidP="003A6902">
      <w:pPr>
        <w:ind w:left="1134" w:firstLine="0"/>
        <w:jc w:val="right"/>
        <w:rPr>
          <w:sz w:val="24"/>
          <w:szCs w:val="24"/>
        </w:rPr>
      </w:pPr>
      <w:r w:rsidRPr="004B436D">
        <w:rPr>
          <w:sz w:val="24"/>
          <w:szCs w:val="24"/>
        </w:rPr>
        <w:lastRenderedPageBreak/>
        <w:t>Приложение</w:t>
      </w:r>
    </w:p>
    <w:p w:rsidR="004B436D" w:rsidRPr="004B436D" w:rsidRDefault="003A6902" w:rsidP="003A6902">
      <w:pPr>
        <w:ind w:left="1134" w:firstLine="0"/>
        <w:jc w:val="right"/>
        <w:rPr>
          <w:sz w:val="24"/>
          <w:szCs w:val="24"/>
        </w:rPr>
      </w:pPr>
      <w:r w:rsidRPr="004B436D">
        <w:rPr>
          <w:sz w:val="24"/>
          <w:szCs w:val="24"/>
        </w:rPr>
        <w:t xml:space="preserve">к </w:t>
      </w:r>
      <w:r w:rsidR="00217EAF" w:rsidRPr="004B436D">
        <w:rPr>
          <w:sz w:val="24"/>
          <w:szCs w:val="24"/>
        </w:rPr>
        <w:t>р</w:t>
      </w:r>
      <w:r w:rsidRPr="004B436D">
        <w:rPr>
          <w:sz w:val="24"/>
          <w:szCs w:val="24"/>
        </w:rPr>
        <w:t>ешению</w:t>
      </w:r>
      <w:r w:rsidR="004B436D" w:rsidRPr="004B436D">
        <w:rPr>
          <w:sz w:val="24"/>
          <w:szCs w:val="24"/>
        </w:rPr>
        <w:t xml:space="preserve"> </w:t>
      </w:r>
      <w:r w:rsidRPr="004B436D">
        <w:rPr>
          <w:sz w:val="24"/>
          <w:szCs w:val="24"/>
        </w:rPr>
        <w:t>Собрания депутатов</w:t>
      </w:r>
      <w:r w:rsidR="004B436D" w:rsidRPr="004B436D">
        <w:rPr>
          <w:sz w:val="24"/>
          <w:szCs w:val="24"/>
        </w:rPr>
        <w:t xml:space="preserve"> </w:t>
      </w:r>
    </w:p>
    <w:p w:rsidR="003A6902" w:rsidRPr="004B436D" w:rsidRDefault="004B436D" w:rsidP="003A6902">
      <w:pPr>
        <w:ind w:left="1134" w:firstLine="0"/>
        <w:jc w:val="right"/>
        <w:rPr>
          <w:sz w:val="24"/>
          <w:szCs w:val="24"/>
        </w:rPr>
      </w:pPr>
      <w:r w:rsidRPr="004B436D">
        <w:rPr>
          <w:sz w:val="24"/>
          <w:szCs w:val="24"/>
        </w:rPr>
        <w:t>Красносулинского района</w:t>
      </w:r>
    </w:p>
    <w:p w:rsidR="003A6902" w:rsidRPr="004B436D" w:rsidRDefault="004B436D" w:rsidP="003A6902">
      <w:pPr>
        <w:ind w:left="1134" w:firstLine="0"/>
        <w:jc w:val="right"/>
        <w:rPr>
          <w:sz w:val="24"/>
          <w:szCs w:val="24"/>
        </w:rPr>
      </w:pPr>
      <w:r w:rsidRPr="004B436D">
        <w:rPr>
          <w:sz w:val="24"/>
          <w:szCs w:val="24"/>
        </w:rPr>
        <w:t>от 26.08.</w:t>
      </w:r>
      <w:r w:rsidR="003A6902" w:rsidRPr="004B436D">
        <w:rPr>
          <w:sz w:val="24"/>
          <w:szCs w:val="24"/>
        </w:rPr>
        <w:t xml:space="preserve"> 202</w:t>
      </w:r>
      <w:r w:rsidR="005B5B59" w:rsidRPr="004B436D">
        <w:rPr>
          <w:sz w:val="24"/>
          <w:szCs w:val="24"/>
        </w:rPr>
        <w:t>5</w:t>
      </w:r>
      <w:r w:rsidRPr="004B436D">
        <w:rPr>
          <w:sz w:val="24"/>
          <w:szCs w:val="24"/>
        </w:rPr>
        <w:t xml:space="preserve"> № 404</w:t>
      </w: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862F63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вносимые в </w:t>
      </w:r>
      <w:r w:rsidRPr="00862F63">
        <w:rPr>
          <w:sz w:val="24"/>
          <w:szCs w:val="24"/>
        </w:rPr>
        <w:t>приложение к решению Собрания депутатов Красносулинского района</w:t>
      </w:r>
    </w:p>
    <w:p w:rsidR="006E46F0" w:rsidRPr="00862F63" w:rsidRDefault="00D823A1" w:rsidP="006E46F0">
      <w:pPr>
        <w:ind w:firstLine="0"/>
        <w:jc w:val="center"/>
        <w:rPr>
          <w:sz w:val="24"/>
          <w:szCs w:val="24"/>
        </w:rPr>
      </w:pPr>
      <w:r w:rsidRPr="00862F63">
        <w:rPr>
          <w:sz w:val="24"/>
          <w:szCs w:val="24"/>
        </w:rPr>
        <w:t>от 27.02.2018 № 28</w:t>
      </w:r>
      <w:r w:rsidR="00152FD7" w:rsidRPr="00862F63">
        <w:rPr>
          <w:sz w:val="24"/>
          <w:szCs w:val="24"/>
        </w:rPr>
        <w:t xml:space="preserve">9 </w:t>
      </w:r>
      <w:r w:rsidRPr="00862F63">
        <w:rPr>
          <w:sz w:val="24"/>
          <w:szCs w:val="24"/>
        </w:rPr>
        <w:t xml:space="preserve">«Об утверждении местных нормативов </w:t>
      </w:r>
      <w:proofErr w:type="gramStart"/>
      <w:r w:rsidRPr="00862F63">
        <w:rPr>
          <w:sz w:val="24"/>
          <w:szCs w:val="24"/>
        </w:rPr>
        <w:t>градостроительного</w:t>
      </w:r>
      <w:proofErr w:type="gramEnd"/>
    </w:p>
    <w:p w:rsidR="006E46F0" w:rsidRPr="00862F63" w:rsidRDefault="00D823A1" w:rsidP="006E46F0">
      <w:pPr>
        <w:ind w:firstLine="0"/>
        <w:jc w:val="center"/>
        <w:rPr>
          <w:sz w:val="24"/>
          <w:szCs w:val="24"/>
        </w:rPr>
      </w:pPr>
      <w:r w:rsidRPr="00862F63">
        <w:rPr>
          <w:sz w:val="24"/>
          <w:szCs w:val="24"/>
        </w:rPr>
        <w:t>проектирования муниципального образования «</w:t>
      </w:r>
      <w:r w:rsidR="00152FD7" w:rsidRPr="00862F63">
        <w:rPr>
          <w:sz w:val="24"/>
          <w:szCs w:val="24"/>
        </w:rPr>
        <w:t>Гуково-</w:t>
      </w:r>
      <w:proofErr w:type="spellStart"/>
      <w:r w:rsidR="00152FD7" w:rsidRPr="00862F63">
        <w:rPr>
          <w:sz w:val="24"/>
          <w:szCs w:val="24"/>
        </w:rPr>
        <w:t>Гнилушевское</w:t>
      </w:r>
      <w:proofErr w:type="spellEnd"/>
      <w:r w:rsidR="00152FD7" w:rsidRPr="00862F63">
        <w:rPr>
          <w:sz w:val="24"/>
          <w:szCs w:val="24"/>
        </w:rPr>
        <w:t xml:space="preserve"> </w:t>
      </w:r>
      <w:r w:rsidRPr="00862F63">
        <w:rPr>
          <w:sz w:val="24"/>
          <w:szCs w:val="24"/>
        </w:rPr>
        <w:t xml:space="preserve"> сельское поселение»»</w:t>
      </w:r>
    </w:p>
    <w:p w:rsidR="003A6902" w:rsidRPr="00862F63" w:rsidRDefault="00D823A1" w:rsidP="006E46F0">
      <w:pPr>
        <w:ind w:firstLine="0"/>
        <w:jc w:val="center"/>
        <w:rPr>
          <w:sz w:val="24"/>
          <w:szCs w:val="24"/>
        </w:rPr>
      </w:pPr>
      <w:r w:rsidRPr="00862F63">
        <w:rPr>
          <w:sz w:val="24"/>
          <w:szCs w:val="24"/>
        </w:rPr>
        <w:t>Красносулинского района Ростовской области.</w:t>
      </w:r>
    </w:p>
    <w:p w:rsidR="006E46F0" w:rsidRPr="00862F63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Pr="00862F63" w:rsidRDefault="006E46F0" w:rsidP="0048414E">
      <w:pPr>
        <w:rPr>
          <w:sz w:val="24"/>
          <w:szCs w:val="24"/>
        </w:rPr>
      </w:pPr>
      <w:r w:rsidRPr="00862F63">
        <w:rPr>
          <w:sz w:val="24"/>
          <w:szCs w:val="24"/>
        </w:rPr>
        <w:t>1. В приложении к</w:t>
      </w:r>
      <w:r w:rsidR="00F918FD">
        <w:rPr>
          <w:sz w:val="24"/>
          <w:szCs w:val="24"/>
        </w:rPr>
        <w:t xml:space="preserve"> </w:t>
      </w:r>
      <w:r w:rsidR="0048414E" w:rsidRPr="00862F63">
        <w:rPr>
          <w:sz w:val="24"/>
          <w:szCs w:val="24"/>
        </w:rPr>
        <w:t>решению Собрания депутатов Красносулинского района от 27.02.2018 № 28</w:t>
      </w:r>
      <w:r w:rsidR="00152FD7" w:rsidRPr="00862F63">
        <w:rPr>
          <w:sz w:val="24"/>
          <w:szCs w:val="24"/>
        </w:rPr>
        <w:t>9</w:t>
      </w:r>
      <w:r w:rsidR="0048414E" w:rsidRPr="00862F63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862F63">
        <w:rPr>
          <w:sz w:val="24"/>
          <w:szCs w:val="24"/>
        </w:rPr>
        <w:t>Местные нормативы градостроительного проектирования</w:t>
      </w:r>
      <w:r w:rsidR="0048414E" w:rsidRPr="00862F63">
        <w:rPr>
          <w:sz w:val="24"/>
          <w:szCs w:val="24"/>
        </w:rPr>
        <w:t xml:space="preserve"> муниципального образования</w:t>
      </w:r>
      <w:r w:rsidR="000F4E1E" w:rsidRPr="00862F63">
        <w:rPr>
          <w:sz w:val="24"/>
          <w:szCs w:val="24"/>
        </w:rPr>
        <w:t xml:space="preserve"> «</w:t>
      </w:r>
      <w:r w:rsidR="00152FD7" w:rsidRPr="00862F63">
        <w:rPr>
          <w:sz w:val="24"/>
          <w:szCs w:val="24"/>
        </w:rPr>
        <w:t>Гуково-</w:t>
      </w:r>
      <w:proofErr w:type="spellStart"/>
      <w:r w:rsidR="00152FD7" w:rsidRPr="00862F63">
        <w:rPr>
          <w:sz w:val="24"/>
          <w:szCs w:val="24"/>
        </w:rPr>
        <w:t>Гнилушевское</w:t>
      </w:r>
      <w:proofErr w:type="spellEnd"/>
      <w:r w:rsidR="00152FD7" w:rsidRPr="00862F63">
        <w:rPr>
          <w:sz w:val="24"/>
          <w:szCs w:val="24"/>
        </w:rPr>
        <w:t xml:space="preserve"> </w:t>
      </w:r>
      <w:r w:rsidR="000F4E1E" w:rsidRPr="00862F63">
        <w:rPr>
          <w:sz w:val="24"/>
          <w:szCs w:val="24"/>
        </w:rPr>
        <w:t>сельское поселение» Красносулинского района</w:t>
      </w:r>
      <w:r w:rsidRPr="00862F63">
        <w:rPr>
          <w:sz w:val="24"/>
          <w:szCs w:val="24"/>
        </w:rPr>
        <w:t xml:space="preserve"> Росто</w:t>
      </w:r>
      <w:r w:rsidRPr="00862F63">
        <w:rPr>
          <w:sz w:val="24"/>
          <w:szCs w:val="24"/>
        </w:rPr>
        <w:t>в</w:t>
      </w:r>
      <w:r w:rsidRPr="00862F63">
        <w:rPr>
          <w:sz w:val="24"/>
          <w:szCs w:val="24"/>
        </w:rPr>
        <w:t>ской области</w:t>
      </w:r>
      <w:r w:rsidR="0048414E" w:rsidRPr="00862F63">
        <w:rPr>
          <w:sz w:val="24"/>
          <w:szCs w:val="24"/>
        </w:rPr>
        <w:t>» в</w:t>
      </w:r>
      <w:r w:rsidR="003B6B3F">
        <w:rPr>
          <w:sz w:val="24"/>
          <w:szCs w:val="24"/>
        </w:rPr>
        <w:t xml:space="preserve"> части «Содержание» </w:t>
      </w:r>
      <w:r w:rsidRPr="00862F63">
        <w:rPr>
          <w:sz w:val="24"/>
          <w:szCs w:val="24"/>
        </w:rPr>
        <w:t xml:space="preserve"> Раздел 2 «Планировка жилых территорий» дополнить пункт</w:t>
      </w:r>
      <w:r w:rsidR="003B6B3F">
        <w:rPr>
          <w:sz w:val="24"/>
          <w:szCs w:val="24"/>
        </w:rPr>
        <w:t>ом 2.9.,</w:t>
      </w:r>
      <w:r w:rsidRPr="00862F63">
        <w:rPr>
          <w:sz w:val="24"/>
          <w:szCs w:val="24"/>
        </w:rPr>
        <w:t xml:space="preserve"> изложив его в следующей редакции:</w:t>
      </w:r>
    </w:p>
    <w:p w:rsidR="006E46F0" w:rsidRPr="00862F63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862F63"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</w:t>
      </w:r>
      <w:proofErr w:type="gramStart"/>
      <w:r w:rsidR="003B6B3F">
        <w:rPr>
          <w:sz w:val="24"/>
          <w:szCs w:val="24"/>
        </w:rPr>
        <w:t>.</w:t>
      </w:r>
      <w:r w:rsidRPr="00862F63">
        <w:rPr>
          <w:sz w:val="24"/>
          <w:szCs w:val="24"/>
        </w:rPr>
        <w:t>»</w:t>
      </w:r>
      <w:r w:rsidR="003B6B3F">
        <w:rPr>
          <w:sz w:val="24"/>
          <w:szCs w:val="24"/>
        </w:rPr>
        <w:t>.</w:t>
      </w:r>
      <w:proofErr w:type="gramEnd"/>
    </w:p>
    <w:p w:rsidR="006E46F0" w:rsidRPr="00862F63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862F63">
        <w:rPr>
          <w:sz w:val="24"/>
          <w:szCs w:val="24"/>
        </w:rPr>
        <w:t>2. Раздел 2 «Планировка жилых территорий» дополнить пунктом 2.9.</w:t>
      </w:r>
      <w:r w:rsidR="003B6B3F">
        <w:rPr>
          <w:sz w:val="24"/>
          <w:szCs w:val="24"/>
        </w:rPr>
        <w:t xml:space="preserve">, </w:t>
      </w:r>
      <w:r w:rsidRPr="00862F63">
        <w:rPr>
          <w:sz w:val="24"/>
          <w:szCs w:val="24"/>
        </w:rPr>
        <w:t xml:space="preserve">изложив его </w:t>
      </w:r>
      <w:r w:rsidR="00A84B9D" w:rsidRPr="00862F63">
        <w:rPr>
          <w:sz w:val="24"/>
          <w:szCs w:val="24"/>
        </w:rPr>
        <w:t>в следующей редакции:</w:t>
      </w:r>
    </w:p>
    <w:p w:rsidR="00E757A7" w:rsidRPr="00862F63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862F63">
        <w:rPr>
          <w:sz w:val="24"/>
          <w:szCs w:val="24"/>
        </w:rPr>
        <w:t>«</w:t>
      </w:r>
      <w:r w:rsidR="00E757A7" w:rsidRPr="00862F63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 w:rsidRPr="00862F63">
        <w:rPr>
          <w:sz w:val="24"/>
          <w:szCs w:val="24"/>
        </w:rPr>
        <w:t>а</w:t>
      </w:r>
      <w:r w:rsidR="00E757A7" w:rsidRPr="00862F63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Pr="00862F63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 w:rsidRPr="00862F63">
        <w:rPr>
          <w:sz w:val="24"/>
          <w:szCs w:val="24"/>
        </w:rPr>
        <w:t>1. Настоящая часть Нормативов градостроительного проектирования муниципального образования «</w:t>
      </w:r>
      <w:r w:rsidR="00D40E07" w:rsidRPr="00862F63">
        <w:rPr>
          <w:sz w:val="24"/>
          <w:szCs w:val="24"/>
        </w:rPr>
        <w:t>Гуково-</w:t>
      </w:r>
      <w:proofErr w:type="spellStart"/>
      <w:r w:rsidR="00D40E07" w:rsidRPr="00862F63">
        <w:rPr>
          <w:sz w:val="24"/>
          <w:szCs w:val="24"/>
        </w:rPr>
        <w:t>Гнилушевск</w:t>
      </w:r>
      <w:r w:rsidRPr="00862F63">
        <w:rPr>
          <w:sz w:val="24"/>
          <w:szCs w:val="24"/>
        </w:rPr>
        <w:t>ое</w:t>
      </w:r>
      <w:proofErr w:type="spellEnd"/>
      <w:r w:rsidRPr="00862F63">
        <w:rPr>
          <w:sz w:val="24"/>
          <w:szCs w:val="24"/>
        </w:rPr>
        <w:t xml:space="preserve"> сельское поселение» Красносулинского района Росто</w:t>
      </w:r>
      <w:r w:rsidRPr="00862F63">
        <w:rPr>
          <w:sz w:val="24"/>
          <w:szCs w:val="24"/>
        </w:rPr>
        <w:t>в</w:t>
      </w:r>
      <w:r w:rsidRPr="00862F63">
        <w:rPr>
          <w:sz w:val="24"/>
          <w:szCs w:val="24"/>
        </w:rPr>
        <w:t xml:space="preserve">ской области содержит совокупность расчетных показателей минимально допустимого уровня обеспеченности объектами местного значения и максимально допустимого уровня доступности таких объектов для населения </w:t>
      </w:r>
      <w:r w:rsidR="00152FD7" w:rsidRPr="00862F63">
        <w:rPr>
          <w:sz w:val="24"/>
          <w:szCs w:val="24"/>
        </w:rPr>
        <w:t>Гуково-</w:t>
      </w:r>
      <w:proofErr w:type="spellStart"/>
      <w:r w:rsidR="00152FD7" w:rsidRPr="00862F63">
        <w:rPr>
          <w:sz w:val="24"/>
          <w:szCs w:val="24"/>
        </w:rPr>
        <w:t>Гнилушевс</w:t>
      </w:r>
      <w:r w:rsidRPr="00862F63">
        <w:rPr>
          <w:sz w:val="24"/>
          <w:szCs w:val="24"/>
        </w:rPr>
        <w:t>кого</w:t>
      </w:r>
      <w:proofErr w:type="spellEnd"/>
      <w:r w:rsidRPr="00862F63">
        <w:rPr>
          <w:sz w:val="24"/>
          <w:szCs w:val="24"/>
        </w:rPr>
        <w:t xml:space="preserve"> сельского поселения Красносулинского района Ростовской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литров/секунду и более или от одного гидранта - при расходе воды менее 15 литров/секунду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твердым покрытием. Допускается не предусматривать наружное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стимый уровень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Максимальный </w:t>
            </w:r>
            <w:r>
              <w:rPr>
                <w:sz w:val="24"/>
                <w:szCs w:val="24"/>
              </w:rPr>
              <w:lastRenderedPageBreak/>
              <w:t>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 xml:space="preserve">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располагаться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62F63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2.1. Расчетные показатели минимально допустимого количества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ство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трудника + 1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7 - 10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 xml:space="preserve">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7 - 9 </w:t>
            </w:r>
            <w:proofErr w:type="spellStart"/>
            <w:r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20 - 30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30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10 - 12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10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10 - 12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4 - 6 </w:t>
            </w:r>
            <w:proofErr w:type="spellStart"/>
            <w:r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Выставочно</w:t>
            </w:r>
            <w:proofErr w:type="spellEnd"/>
            <w:r>
              <w:rPr>
                <w:sz w:val="24"/>
                <w:szCs w:val="24"/>
              </w:rPr>
              <w:t>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временных посетителей (но не менее 10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ности, число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2.2. Расчетные показатели минимально допустимого количества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лесопарков, зон отдыха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Если такие территории обеспечены автобусными маршрутами, то количество </w:t>
      </w:r>
      <w:proofErr w:type="spellStart"/>
      <w:proofErr w:type="gram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-мест, размещаемых на стоянках автомобилей у границ лесопарков и зон отдыха может</w:t>
      </w:r>
      <w:proofErr w:type="gramEnd"/>
      <w:r>
        <w:rPr>
          <w:sz w:val="24"/>
          <w:szCs w:val="24"/>
        </w:rPr>
        <w:t xml:space="preserve">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образовании.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ций электропоездов в радиусе пешеходной доступности, следует применять показатель 39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показатель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проектирования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="003B6B3F">
        <w:rPr>
          <w:sz w:val="24"/>
          <w:szCs w:val="24"/>
        </w:rPr>
        <w:t>.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24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05249"/>
    <w:rsid w:val="00017E56"/>
    <w:rsid w:val="00073572"/>
    <w:rsid w:val="00081CB8"/>
    <w:rsid w:val="000917E3"/>
    <w:rsid w:val="000B2EDE"/>
    <w:rsid w:val="000F4E1E"/>
    <w:rsid w:val="00135D71"/>
    <w:rsid w:val="00140825"/>
    <w:rsid w:val="00152FD7"/>
    <w:rsid w:val="00175C94"/>
    <w:rsid w:val="001B0E56"/>
    <w:rsid w:val="001C59CA"/>
    <w:rsid w:val="001C5C32"/>
    <w:rsid w:val="001D778A"/>
    <w:rsid w:val="00204843"/>
    <w:rsid w:val="00217EAF"/>
    <w:rsid w:val="00284CF0"/>
    <w:rsid w:val="00297180"/>
    <w:rsid w:val="002B252F"/>
    <w:rsid w:val="002F18B7"/>
    <w:rsid w:val="00302E45"/>
    <w:rsid w:val="003449FA"/>
    <w:rsid w:val="003521C1"/>
    <w:rsid w:val="0035250E"/>
    <w:rsid w:val="00372A70"/>
    <w:rsid w:val="0038634F"/>
    <w:rsid w:val="003A6902"/>
    <w:rsid w:val="003B6B3F"/>
    <w:rsid w:val="00427A6B"/>
    <w:rsid w:val="004323D8"/>
    <w:rsid w:val="00436C15"/>
    <w:rsid w:val="00466CFC"/>
    <w:rsid w:val="0048414E"/>
    <w:rsid w:val="004849FE"/>
    <w:rsid w:val="004B436D"/>
    <w:rsid w:val="004C5FDB"/>
    <w:rsid w:val="004D59D4"/>
    <w:rsid w:val="004F56D8"/>
    <w:rsid w:val="00575601"/>
    <w:rsid w:val="00581A5E"/>
    <w:rsid w:val="00591636"/>
    <w:rsid w:val="005B5B59"/>
    <w:rsid w:val="005F7696"/>
    <w:rsid w:val="006246FC"/>
    <w:rsid w:val="00651631"/>
    <w:rsid w:val="00652AA5"/>
    <w:rsid w:val="006631AC"/>
    <w:rsid w:val="00665ADE"/>
    <w:rsid w:val="00697454"/>
    <w:rsid w:val="006A3D0A"/>
    <w:rsid w:val="006B7E54"/>
    <w:rsid w:val="006E46F0"/>
    <w:rsid w:val="00732BFD"/>
    <w:rsid w:val="007B3C26"/>
    <w:rsid w:val="007B745D"/>
    <w:rsid w:val="007E2057"/>
    <w:rsid w:val="007F0F64"/>
    <w:rsid w:val="00800CE4"/>
    <w:rsid w:val="00810DE0"/>
    <w:rsid w:val="00823361"/>
    <w:rsid w:val="00862F63"/>
    <w:rsid w:val="008A583D"/>
    <w:rsid w:val="008D0A15"/>
    <w:rsid w:val="008E2F9B"/>
    <w:rsid w:val="00906271"/>
    <w:rsid w:val="00930ABF"/>
    <w:rsid w:val="009433E9"/>
    <w:rsid w:val="0097408D"/>
    <w:rsid w:val="00997161"/>
    <w:rsid w:val="009A6B89"/>
    <w:rsid w:val="009C4134"/>
    <w:rsid w:val="00A0572D"/>
    <w:rsid w:val="00A47274"/>
    <w:rsid w:val="00A604F4"/>
    <w:rsid w:val="00A766C5"/>
    <w:rsid w:val="00A84B9D"/>
    <w:rsid w:val="00AA12AB"/>
    <w:rsid w:val="00AD5F4D"/>
    <w:rsid w:val="00AE596A"/>
    <w:rsid w:val="00B5491B"/>
    <w:rsid w:val="00B557D6"/>
    <w:rsid w:val="00B968D4"/>
    <w:rsid w:val="00BC5355"/>
    <w:rsid w:val="00BF6131"/>
    <w:rsid w:val="00BF682D"/>
    <w:rsid w:val="00C053F2"/>
    <w:rsid w:val="00C56908"/>
    <w:rsid w:val="00C64CCC"/>
    <w:rsid w:val="00CA0FE2"/>
    <w:rsid w:val="00CA7E08"/>
    <w:rsid w:val="00CD7E56"/>
    <w:rsid w:val="00CF6D84"/>
    <w:rsid w:val="00D161FF"/>
    <w:rsid w:val="00D40E07"/>
    <w:rsid w:val="00D823A1"/>
    <w:rsid w:val="00DA29D4"/>
    <w:rsid w:val="00E4773F"/>
    <w:rsid w:val="00E47C6E"/>
    <w:rsid w:val="00E757A7"/>
    <w:rsid w:val="00EC2FFF"/>
    <w:rsid w:val="00EE306F"/>
    <w:rsid w:val="00F07B8B"/>
    <w:rsid w:val="00F16265"/>
    <w:rsid w:val="00F16E22"/>
    <w:rsid w:val="00F52753"/>
    <w:rsid w:val="00F53DB9"/>
    <w:rsid w:val="00F6672C"/>
    <w:rsid w:val="00F853F9"/>
    <w:rsid w:val="00F918FD"/>
    <w:rsid w:val="00FB655D"/>
    <w:rsid w:val="00FB77A6"/>
    <w:rsid w:val="00FD6E08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6A4C-6932-483E-8A39-4A1CFA80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5848</Words>
  <Characters>33340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39110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7</cp:revision>
  <cp:lastPrinted>2025-08-27T05:45:00Z</cp:lastPrinted>
  <dcterms:created xsi:type="dcterms:W3CDTF">2025-08-19T07:21:00Z</dcterms:created>
  <dcterms:modified xsi:type="dcterms:W3CDTF">2025-08-27T05:45:00Z</dcterms:modified>
</cp:coreProperties>
</file>