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проекту п</w:t>
            </w:r>
            <w:r>
              <w:rPr>
                <w:rFonts w:ascii="PT Astra Serif" w:hAnsi="PT Astra Serif"/>
                <w:spacing w:val="-4"/>
                <w:sz w:val="24"/>
              </w:rPr>
              <w:t>ланировки и межеванию территории для размещения объекта</w:t>
            </w: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-4"/>
                <w:sz w:val="24"/>
              </w:rPr>
              <w:t>«</w:t>
            </w:r>
            <w:r>
              <w:rPr>
                <w:rFonts w:ascii="PT Astra Serif" w:hAnsi="PT Astra Serif"/>
                <w:spacing w:val="-4"/>
                <w:sz w:val="24"/>
              </w:rPr>
              <w:t>Строительство наружных инженерных сетей канализации из полиэтиленовых труб в две нити общей протяженностью 17800 м</w:t>
            </w:r>
            <w:r>
              <w:rPr>
                <w:rFonts w:ascii="PT Astra Serif" w:hAnsi="PT Astra Serif"/>
                <w:spacing w:val="-4"/>
                <w:sz w:val="24"/>
              </w:rPr>
              <w:t>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«22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2024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Проект п</w:t>
            </w:r>
            <w:r>
              <w:rPr>
                <w:rFonts w:ascii="PT Astra Serif" w:hAnsi="PT Astra Serif"/>
                <w:spacing w:val="-4"/>
                <w:sz w:val="24"/>
              </w:rPr>
              <w:t>ланировки и межевания территории для размещения объекта</w:t>
            </w: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-4"/>
                <w:sz w:val="24"/>
              </w:rPr>
              <w:t>«</w:t>
            </w:r>
            <w:r>
              <w:rPr>
                <w:rFonts w:ascii="PT Astra Serif" w:hAnsi="PT Astra Serif"/>
                <w:spacing w:val="-4"/>
                <w:sz w:val="24"/>
              </w:rPr>
              <w:t>Строительство наружных инженерных сетей канализации из полиэтиленовых труб в две нити общей протяженностью 17800 м</w:t>
            </w:r>
            <w:r>
              <w:rPr>
                <w:rFonts w:ascii="PT Astra Serif" w:hAnsi="PT Astra Serif"/>
                <w:spacing w:val="-4"/>
                <w:sz w:val="24"/>
              </w:rPr>
              <w:t>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06.11</w:t>
            </w:r>
            <w:r>
              <w:rPr>
                <w:sz w:val="24"/>
              </w:rPr>
              <w:t>.2024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21.11</w:t>
            </w:r>
            <w:r>
              <w:rPr>
                <w:sz w:val="24"/>
              </w:rPr>
              <w:t>.2024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1(одного</w:t>
            </w:r>
            <w:r>
              <w:rPr>
                <w:sz w:val="24"/>
                <w:u w:val="single"/>
              </w:rPr>
              <w:t>) человека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По результатам публичных слушаний составлен протокол публичных слуш</w:t>
            </w:r>
            <w:r>
              <w:rPr>
                <w:sz w:val="24"/>
              </w:rPr>
              <w:t>аний №</w:t>
            </w:r>
            <w:r>
              <w:rPr>
                <w:sz w:val="24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«21</w:t>
            </w:r>
            <w:r>
              <w:rPr>
                <w:sz w:val="24"/>
                <w:u w:val="single"/>
              </w:rPr>
              <w:t>» 11</w:t>
            </w:r>
            <w:r>
              <w:rPr>
                <w:sz w:val="24"/>
                <w:u w:val="single"/>
              </w:rPr>
              <w:t xml:space="preserve">.2024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4"/>
                <w:u w:val="single"/>
              </w:rPr>
              <w:t xml:space="preserve">Комиссия по </w:t>
            </w:r>
            <w:r>
              <w:rPr>
                <w:sz w:val="24"/>
                <w:u w:val="single"/>
              </w:rPr>
              <w:t>вопросам градостроительной деятельности</w:t>
            </w:r>
            <w:r>
              <w:rPr>
                <w:sz w:val="28"/>
                <w:u w:val="single"/>
              </w:rPr>
              <w:t>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/>
              <w:ind w:firstLine="48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/>
              <w:ind/>
              <w:jc w:val="lef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/>
              <w:ind w:firstLine="48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>
            <w:pPr>
              <w:spacing w:after="0"/>
              <w:ind/>
              <w:jc w:val="left"/>
              <w:rPr>
                <w:sz w:val="24"/>
              </w:rPr>
            </w:pPr>
          </w:p>
          <w:p w14:paraId="65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none"/>
              </w:rPr>
              <w:t>1.Процедура проведения публичных слушаний соблюдена и соответствует требованиям действующего законодательства Российской Федерации, в связи с чем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4"/>
                <w:u w:val="none"/>
              </w:rPr>
            </w:pPr>
          </w:p>
          <w:p w14:paraId="6A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4"/>
                <w:u w:val="none"/>
              </w:rPr>
            </w:pPr>
          </w:p>
          <w:p w14:paraId="6B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4"/>
                <w:u w:val="none"/>
              </w:rPr>
            </w:pPr>
          </w:p>
          <w:p w14:paraId="6C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4"/>
                <w:u w:val="none"/>
              </w:rPr>
            </w:pPr>
          </w:p>
          <w:p w14:paraId="6D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2.</w:t>
            </w:r>
            <w:r>
              <w:rPr>
                <w:sz w:val="24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spacing w:after="0"/>
              <w:ind/>
              <w:jc w:val="left"/>
              <w:rPr>
                <w:sz w:val="24"/>
              </w:rPr>
            </w:pPr>
          </w:p>
          <w:p w14:paraId="71000000">
            <w:pPr>
              <w:spacing w:after="0"/>
              <w:ind/>
              <w:jc w:val="left"/>
              <w:rPr>
                <w:sz w:val="24"/>
              </w:rPr>
            </w:pPr>
          </w:p>
          <w:p w14:paraId="7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Председатель Комиссии                                                                                           </w:t>
            </w:r>
            <w:r>
              <w:rPr>
                <w:sz w:val="24"/>
              </w:rPr>
              <w:t xml:space="preserve">А.Р. </w:t>
            </w:r>
            <w:r>
              <w:rPr>
                <w:sz w:val="24"/>
              </w:rPr>
              <w:t>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r>
              <w:t xml:space="preserve">         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Секретарь Комиссии</w:t>
            </w:r>
            <w:r>
              <w:rPr>
                <w:sz w:val="28"/>
              </w:rPr>
              <w:t xml:space="preserve">                                                                          </w:t>
            </w:r>
            <w:r>
              <w:rPr>
                <w:sz w:val="24"/>
              </w:rPr>
              <w:t xml:space="preserve">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             (Ф.И.О.)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B000000"/>
        </w:tc>
      </w:tr>
    </w:tbl>
    <w:p w14:paraId="8C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Абзац списка1"/>
    <w:basedOn w:val="Style_3"/>
    <w:link w:val="Style_4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4_ch" w:type="character">
    <w:name w:val="Абзац списка1"/>
    <w:basedOn w:val="Style_3_ch"/>
    <w:link w:val="Style_4"/>
    <w:rPr>
      <w:rFonts w:ascii="Calibri" w:hAnsi="Calibri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PlusNormal"/>
    <w:link w:val="Style_11_ch"/>
    <w:pPr>
      <w:widowControl w:val="0"/>
      <w:ind w:firstLine="720" w:left="0"/>
    </w:pPr>
    <w:rPr>
      <w:rFonts w:ascii="Arial" w:hAnsi="Arial"/>
    </w:rPr>
  </w:style>
  <w:style w:styleId="Style_11_ch" w:type="character">
    <w:name w:val="ConsPlusNormal"/>
    <w:link w:val="Style_11"/>
    <w:rPr>
      <w:rFonts w:ascii="Arial" w:hAnsi="Arial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link w:val="Style_13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3_ch" w:type="character">
    <w:name w:val="heading 1"/>
    <w:basedOn w:val="Style_3_ch"/>
    <w:link w:val="Style_13"/>
    <w:rPr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Balloon Text"/>
    <w:basedOn w:val="Style_3"/>
    <w:link w:val="Style_23_ch"/>
    <w:pPr>
      <w:spacing w:after="0"/>
      <w:ind/>
    </w:pPr>
    <w:rPr>
      <w:rFonts w:ascii="Arial" w:hAnsi="Arial"/>
      <w:sz w:val="16"/>
    </w:rPr>
  </w:style>
  <w:style w:styleId="Style_23_ch" w:type="character">
    <w:name w:val="Balloon Text"/>
    <w:basedOn w:val="Style_3_ch"/>
    <w:link w:val="Style_23"/>
    <w:rPr>
      <w:rFonts w:ascii="Arial" w:hAnsi="Arial"/>
      <w:sz w:val="16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2024-11-21T13:47:33Z</dcterms:modified>
</cp:coreProperties>
</file>