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>
        <w:rPr>
          <w:rFonts w:ascii="Times New Roman" w:hAnsi="Times New Roman" w:cs="Times New Roman"/>
          <w:b/>
          <w:sz w:val="26"/>
          <w:szCs w:val="26"/>
        </w:rPr>
        <w:t>606 за 9 месяцев  2023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B163C6" w:rsidRDefault="00BC595F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По состоянию на 25.09</w:t>
      </w:r>
      <w:r w:rsidRPr="00247975">
        <w:rPr>
          <w:rFonts w:ascii="Times New Roman" w:hAnsi="Times New Roman" w:cs="Times New Roman"/>
          <w:b/>
          <w:i/>
          <w:sz w:val="32"/>
          <w:szCs w:val="32"/>
          <w:u w:val="single"/>
        </w:rPr>
        <w:t>.2023 г</w:t>
      </w:r>
      <w:r w:rsidRPr="002479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142"/>
        <w:gridCol w:w="996"/>
        <w:gridCol w:w="1134"/>
        <w:gridCol w:w="35"/>
        <w:gridCol w:w="1382"/>
        <w:gridCol w:w="1563"/>
      </w:tblGrid>
      <w:tr w:rsidR="00BC595F" w:rsidRPr="0077312D" w:rsidTr="00EE28F9">
        <w:tc>
          <w:tcPr>
            <w:tcW w:w="10490" w:type="dxa"/>
            <w:gridSpan w:val="10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BC595F" w:rsidRPr="0077312D" w:rsidTr="00EE28F9">
        <w:tc>
          <w:tcPr>
            <w:tcW w:w="565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2444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3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BC595F" w:rsidRPr="0077312D" w:rsidRDefault="00BC595F" w:rsidP="00EE28F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C595F" w:rsidRPr="0077312D" w:rsidTr="00EE28F9">
        <w:trPr>
          <w:trHeight w:val="761"/>
        </w:trPr>
        <w:tc>
          <w:tcPr>
            <w:tcW w:w="565" w:type="dxa"/>
          </w:tcPr>
          <w:p w:rsidR="00BC595F" w:rsidRPr="007C72D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BC595F" w:rsidRPr="007C72DD" w:rsidRDefault="00BC595F" w:rsidP="00EE28F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3"/>
          </w:tcPr>
          <w:p w:rsidR="00BC595F" w:rsidRPr="007C72D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BC595F" w:rsidRPr="007C72DD" w:rsidRDefault="00BC595F" w:rsidP="00EE28F9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12767,8</w:t>
            </w:r>
          </w:p>
        </w:tc>
        <w:tc>
          <w:tcPr>
            <w:tcW w:w="1169" w:type="dxa"/>
            <w:gridSpan w:val="2"/>
          </w:tcPr>
          <w:p w:rsidR="00BC595F" w:rsidRPr="007C72DD" w:rsidRDefault="00BC595F" w:rsidP="00EE28F9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6200,0</w:t>
            </w:r>
          </w:p>
        </w:tc>
        <w:tc>
          <w:tcPr>
            <w:tcW w:w="1382" w:type="dxa"/>
          </w:tcPr>
          <w:p w:rsidR="00BC595F" w:rsidRPr="007C72DD" w:rsidRDefault="00BC595F" w:rsidP="00EE28F9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7 468,3</w:t>
            </w:r>
          </w:p>
        </w:tc>
        <w:tc>
          <w:tcPr>
            <w:tcW w:w="1563" w:type="dxa"/>
          </w:tcPr>
          <w:p w:rsidR="00BC595F" w:rsidRPr="007C72D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---</w:t>
            </w:r>
          </w:p>
        </w:tc>
      </w:tr>
      <w:tr w:rsidR="00BC595F" w:rsidRPr="0077312D" w:rsidTr="00EE28F9">
        <w:trPr>
          <w:trHeight w:val="761"/>
        </w:trPr>
        <w:tc>
          <w:tcPr>
            <w:tcW w:w="10490" w:type="dxa"/>
            <w:gridSpan w:val="10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BC595F" w:rsidRPr="0077312D" w:rsidTr="00EE28F9">
        <w:trPr>
          <w:trHeight w:val="1653"/>
        </w:trPr>
        <w:tc>
          <w:tcPr>
            <w:tcW w:w="565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2832" w:type="dxa"/>
            <w:gridSpan w:val="2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2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BC595F" w:rsidRPr="0077312D" w:rsidRDefault="00BC595F" w:rsidP="00EE28F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C44B2" w:rsidRPr="001968F3" w:rsidTr="00EE28F9">
        <w:trPr>
          <w:trHeight w:val="761"/>
        </w:trPr>
        <w:tc>
          <w:tcPr>
            <w:tcW w:w="565" w:type="dxa"/>
          </w:tcPr>
          <w:p w:rsidR="002C44B2" w:rsidRPr="00A851CF" w:rsidRDefault="002C44B2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2C44B2" w:rsidRDefault="002C44B2" w:rsidP="00EE2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2C44B2" w:rsidRDefault="002C44B2" w:rsidP="00EE28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2"/>
          </w:tcPr>
          <w:p w:rsidR="002C44B2" w:rsidRDefault="002C44B2" w:rsidP="00FA6253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31 222,5</w:t>
            </w:r>
          </w:p>
        </w:tc>
        <w:tc>
          <w:tcPr>
            <w:tcW w:w="1134" w:type="dxa"/>
          </w:tcPr>
          <w:p w:rsidR="002C44B2" w:rsidRDefault="002C44B2" w:rsidP="00FA6253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33 665,2</w:t>
            </w:r>
          </w:p>
        </w:tc>
        <w:tc>
          <w:tcPr>
            <w:tcW w:w="1417" w:type="dxa"/>
            <w:gridSpan w:val="2"/>
          </w:tcPr>
          <w:p w:rsidR="002C44B2" w:rsidRDefault="002C44B2" w:rsidP="00FA62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32 394,8</w:t>
            </w:r>
          </w:p>
        </w:tc>
        <w:tc>
          <w:tcPr>
            <w:tcW w:w="1563" w:type="dxa"/>
          </w:tcPr>
          <w:p w:rsidR="002C44B2" w:rsidRDefault="002C44B2" w:rsidP="00FA62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- 1 270,4</w:t>
            </w:r>
            <w:bookmarkStart w:id="0" w:name="_GoBack"/>
            <w:bookmarkEnd w:id="0"/>
          </w:p>
        </w:tc>
      </w:tr>
      <w:tr w:rsidR="00AB54FF" w:rsidRPr="0077312D" w:rsidTr="00EE28F9">
        <w:trPr>
          <w:trHeight w:val="992"/>
        </w:trPr>
        <w:tc>
          <w:tcPr>
            <w:tcW w:w="565" w:type="dxa"/>
          </w:tcPr>
          <w:p w:rsidR="00AB54FF" w:rsidRDefault="00AB54FF" w:rsidP="00EE28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AB54FF" w:rsidRPr="0077312D" w:rsidRDefault="00AB54FF" w:rsidP="00EE28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1" w:type="dxa"/>
          </w:tcPr>
          <w:p w:rsidR="00AB54FF" w:rsidRPr="0077312D" w:rsidRDefault="00AB54FF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  <w:gridSpan w:val="2"/>
          </w:tcPr>
          <w:p w:rsidR="00AB54FF" w:rsidRDefault="00AB54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35569,3</w:t>
            </w:r>
          </w:p>
        </w:tc>
        <w:tc>
          <w:tcPr>
            <w:tcW w:w="1134" w:type="dxa"/>
          </w:tcPr>
          <w:p w:rsidR="00AB54FF" w:rsidRDefault="00AB54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38663,8</w:t>
            </w:r>
          </w:p>
        </w:tc>
        <w:tc>
          <w:tcPr>
            <w:tcW w:w="1417" w:type="dxa"/>
            <w:gridSpan w:val="2"/>
          </w:tcPr>
          <w:p w:rsidR="00AB54FF" w:rsidRDefault="00AB54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38049,1</w:t>
            </w:r>
          </w:p>
        </w:tc>
        <w:tc>
          <w:tcPr>
            <w:tcW w:w="1563" w:type="dxa"/>
          </w:tcPr>
          <w:p w:rsidR="00AB54FF" w:rsidRDefault="00AB54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- 614,7</w:t>
            </w:r>
          </w:p>
        </w:tc>
      </w:tr>
    </w:tbl>
    <w:p w:rsidR="00461031" w:rsidRDefault="00AB54FF" w:rsidP="00AA7911"/>
    <w:sectPr w:rsidR="00461031" w:rsidSect="00AA791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595F"/>
    <w:rsid w:val="002C44B2"/>
    <w:rsid w:val="004155B1"/>
    <w:rsid w:val="00601AC4"/>
    <w:rsid w:val="0062519A"/>
    <w:rsid w:val="00782CEE"/>
    <w:rsid w:val="007D3C5D"/>
    <w:rsid w:val="00891694"/>
    <w:rsid w:val="00AA7911"/>
    <w:rsid w:val="00AB54FF"/>
    <w:rsid w:val="00BC595F"/>
    <w:rsid w:val="00E3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95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9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5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1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2023-09-18T11:51:00Z</dcterms:created>
  <dcterms:modified xsi:type="dcterms:W3CDTF">2023-09-22T08:24:00Z</dcterms:modified>
</cp:coreProperties>
</file>